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AA10ED"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" stroked="f">
                <v:textbox>
                  <w:txbxContent>
                    <w:p w14:paraId="2E72DCC8" w14:textId="77777777" w:rsidR="00C46906" w:rsidRPr="00C175F9" w:rsidRDefault="00210851"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&#13;&#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02B1BFA7" w:rsidR="009C2829" w:rsidRPr="000257FB" w:rsidRDefault="000104E7" w:rsidP="005A3FB9">
            <w:pPr>
              <w:pStyle w:val="Header"/>
              <w:jc w:val="center"/>
              <w:rPr>
                <w:rFonts w:asciiTheme="majorHAnsi" w:hAnsiTheme="majorHAnsi"/>
                <w:b/>
              </w:rPr>
            </w:pPr>
            <w:r>
              <w:rPr>
                <w:rFonts w:asciiTheme="majorHAnsi" w:hAnsiTheme="majorHAnsi"/>
                <w:b/>
                <w:sz w:val="22"/>
              </w:rPr>
              <w:t>Oct. 25</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6005CA16" w14:textId="77777777" w:rsidR="00BB1E2A" w:rsidRDefault="00BB1E2A" w:rsidP="003F0266">
            <w:pPr>
              <w:rPr>
                <w:rFonts w:ascii="Calibri Light" w:hAnsi="Calibri Light"/>
                <w:noProof/>
                <w:sz w:val="20"/>
              </w:rPr>
            </w:pPr>
          </w:p>
          <w:p w14:paraId="59269132" w14:textId="77777777" w:rsidR="00BB1E2A" w:rsidRDefault="00BB1E2A" w:rsidP="003F0266">
            <w:pPr>
              <w:rPr>
                <w:rFonts w:ascii="Calibri Light" w:hAnsi="Calibri Light"/>
                <w:noProof/>
                <w:sz w:val="20"/>
              </w:rPr>
            </w:pP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A322C85" w14:textId="77777777" w:rsidR="00506BE1" w:rsidRDefault="00506BE1" w:rsidP="00BB1E2A">
            <w:pPr>
              <w:rPr>
                <w:rFonts w:asciiTheme="majorHAnsi" w:hAnsiTheme="majorHAnsi" w:cstheme="majorHAnsi"/>
                <w:b/>
                <w:bCs/>
              </w:rPr>
            </w:pPr>
          </w:p>
          <w:p w14:paraId="47A55BEF" w14:textId="3429014E" w:rsidR="00A608B5" w:rsidRPr="0008367E" w:rsidRDefault="00A608B5" w:rsidP="00A608B5">
            <w:pPr>
              <w:rPr>
                <w:rFonts w:asciiTheme="majorHAnsi" w:hAnsiTheme="majorHAnsi" w:cs="Arial"/>
                <w:color w:val="FF0000"/>
                <w:szCs w:val="20"/>
              </w:rPr>
            </w:pPr>
            <w:r w:rsidRPr="0008367E">
              <w:rPr>
                <w:rFonts w:asciiTheme="majorHAnsi" w:hAnsiTheme="majorHAnsi" w:cs="Arial"/>
                <w:color w:val="FF0000"/>
                <w:szCs w:val="20"/>
              </w:rPr>
              <w:t>REMINDER</w:t>
            </w:r>
            <w:r w:rsidR="000104E7">
              <w:rPr>
                <w:rFonts w:asciiTheme="majorHAnsi" w:hAnsiTheme="majorHAnsi" w:cs="Arial"/>
                <w:color w:val="FF0000"/>
                <w:szCs w:val="20"/>
              </w:rPr>
              <w:t>S</w:t>
            </w:r>
          </w:p>
          <w:p w14:paraId="2DC4ACB4" w14:textId="2840782D" w:rsidR="00A608B5" w:rsidRPr="005D163A" w:rsidRDefault="000104E7" w:rsidP="00A608B5">
            <w:pPr>
              <w:rPr>
                <w:rFonts w:asciiTheme="majorHAnsi" w:hAnsiTheme="majorHAnsi" w:cs="Arial"/>
                <w:b/>
                <w:color w:val="000000" w:themeColor="text1"/>
                <w:szCs w:val="20"/>
              </w:rPr>
            </w:pPr>
            <w:r>
              <w:rPr>
                <w:rFonts w:asciiTheme="majorHAnsi" w:hAnsiTheme="majorHAnsi" w:cs="Arial"/>
                <w:b/>
                <w:color w:val="000000" w:themeColor="text1"/>
                <w:szCs w:val="20"/>
              </w:rPr>
              <w:t>SECC campaign kicks off Oct. 26:</w:t>
            </w:r>
          </w:p>
          <w:p w14:paraId="4FBAFB2E" w14:textId="4B8AC950" w:rsidR="000104E7" w:rsidRDefault="000104E7" w:rsidP="000104E7">
            <w:pPr>
              <w:shd w:val="clear" w:color="auto" w:fill="FFFFFF"/>
              <w:spacing w:line="253" w:lineRule="atLeast"/>
              <w:rPr>
                <w:rFonts w:ascii="Calibri Light" w:hAnsi="Calibri Light" w:cs="Calibri Light"/>
                <w:color w:val="000000"/>
                <w:sz w:val="21"/>
                <w:szCs w:val="21"/>
              </w:rPr>
            </w:pPr>
            <w:r w:rsidRPr="000104E7">
              <w:rPr>
                <w:rFonts w:ascii="Calibri Light" w:hAnsi="Calibri Light" w:cs="Calibri Light"/>
                <w:color w:val="000000"/>
                <w:sz w:val="21"/>
                <w:szCs w:val="21"/>
                <w:shd w:val="clear" w:color="auto" w:fill="FFFFFF"/>
              </w:rPr>
              <w:t>The 2018 State Employee Charitable Campaign (SECC) begins Oct. 26. School of Nursing Dean Dr. Deborah Jones will lead the charge with a fun superhero theme that is meant to honor the everyday heroes among us. To reinforce the theme, a superhero dress-up day is planned for Halloween, Oct. 31. Learn more about this year’s campaign at</w:t>
            </w:r>
            <w:r w:rsidRPr="000104E7">
              <w:rPr>
                <w:rStyle w:val="apple-converted-space"/>
                <w:rFonts w:ascii="Calibri Light" w:hAnsi="Calibri Light" w:cs="Calibri Light"/>
                <w:color w:val="000000"/>
                <w:sz w:val="21"/>
                <w:szCs w:val="21"/>
                <w:shd w:val="clear" w:color="auto" w:fill="FFFFFF"/>
              </w:rPr>
              <w:t> </w:t>
            </w:r>
            <w:hyperlink r:id="rId13" w:history="1">
              <w:r w:rsidRPr="000104E7">
                <w:rPr>
                  <w:rStyle w:val="Hyperlink"/>
                  <w:rFonts w:ascii="Calibri Light" w:hAnsi="Calibri Light" w:cs="Calibri Light"/>
                  <w:color w:val="954F72"/>
                  <w:sz w:val="21"/>
                  <w:szCs w:val="21"/>
                  <w:shd w:val="clear" w:color="auto" w:fill="FFFFFF"/>
                </w:rPr>
                <w:t>www.utmb.edu/secc</w:t>
              </w:r>
            </w:hyperlink>
            <w:r w:rsidRPr="000104E7">
              <w:rPr>
                <w:rFonts w:ascii="Calibri Light" w:hAnsi="Calibri Light" w:cs="Calibri Light"/>
                <w:color w:val="000000"/>
                <w:sz w:val="21"/>
                <w:szCs w:val="21"/>
                <w:shd w:val="clear" w:color="auto" w:fill="FFFFFF"/>
              </w:rPr>
              <w:t>.</w:t>
            </w:r>
          </w:p>
          <w:p w14:paraId="2659DD8D" w14:textId="60953BBE" w:rsidR="000104E7" w:rsidRDefault="000104E7" w:rsidP="000104E7">
            <w:pPr>
              <w:shd w:val="clear" w:color="auto" w:fill="FFFFFF"/>
              <w:spacing w:line="253" w:lineRule="atLeast"/>
              <w:rPr>
                <w:rFonts w:ascii="Calibri Light" w:hAnsi="Calibri Light" w:cs="Calibri Light"/>
                <w:color w:val="000000"/>
                <w:sz w:val="21"/>
                <w:szCs w:val="21"/>
              </w:rPr>
            </w:pPr>
          </w:p>
          <w:p w14:paraId="25AEE393" w14:textId="4E9A3EAF" w:rsidR="000104E7" w:rsidRPr="005D163A" w:rsidRDefault="00B46CD5" w:rsidP="000104E7">
            <w:pPr>
              <w:rPr>
                <w:rFonts w:asciiTheme="majorHAnsi" w:hAnsiTheme="majorHAnsi" w:cs="Arial"/>
                <w:b/>
                <w:color w:val="000000" w:themeColor="text1"/>
                <w:szCs w:val="20"/>
              </w:rPr>
            </w:pPr>
            <w:r>
              <w:rPr>
                <w:rFonts w:asciiTheme="majorHAnsi" w:hAnsiTheme="majorHAnsi" w:cs="Arial"/>
                <w:b/>
                <w:color w:val="000000" w:themeColor="text1"/>
                <w:szCs w:val="20"/>
              </w:rPr>
              <w:t>Annual employee evaluations</w:t>
            </w:r>
            <w:r w:rsidR="000104E7">
              <w:rPr>
                <w:rFonts w:asciiTheme="majorHAnsi" w:hAnsiTheme="majorHAnsi" w:cs="Arial"/>
                <w:b/>
                <w:color w:val="000000" w:themeColor="text1"/>
                <w:szCs w:val="20"/>
              </w:rPr>
              <w:t>:</w:t>
            </w:r>
          </w:p>
          <w:p w14:paraId="324CE0EB" w14:textId="77777777" w:rsidR="000104E7" w:rsidRPr="000104E7" w:rsidRDefault="000104E7" w:rsidP="000104E7">
            <w:pPr>
              <w:shd w:val="clear" w:color="auto" w:fill="FFFFFF"/>
              <w:spacing w:line="253" w:lineRule="atLeast"/>
              <w:rPr>
                <w:rFonts w:ascii="Calibri Light" w:hAnsi="Calibri Light" w:cs="Calibri Light"/>
                <w:color w:val="000000"/>
                <w:sz w:val="21"/>
                <w:szCs w:val="21"/>
              </w:rPr>
            </w:pPr>
            <w:r w:rsidRPr="000104E7">
              <w:rPr>
                <w:rFonts w:ascii="Calibri Light" w:hAnsi="Calibri Light" w:cs="Calibri Light"/>
                <w:color w:val="000000"/>
                <w:sz w:val="21"/>
                <w:szCs w:val="21"/>
              </w:rPr>
              <w:t>The institutional deadline to complete employee evaluations for</w:t>
            </w:r>
            <w:r w:rsidRPr="000104E7">
              <w:rPr>
                <w:rStyle w:val="apple-converted-space"/>
                <w:rFonts w:ascii="Calibri Light" w:hAnsi="Calibri Light" w:cs="Calibri Light"/>
                <w:color w:val="000000"/>
                <w:sz w:val="21"/>
                <w:szCs w:val="21"/>
              </w:rPr>
              <w:t> </w:t>
            </w:r>
            <w:r w:rsidRPr="000104E7">
              <w:rPr>
                <w:rFonts w:ascii="Calibri Light" w:hAnsi="Calibri Light" w:cs="Calibri Light"/>
                <w:bCs/>
                <w:color w:val="000000"/>
                <w:sz w:val="21"/>
                <w:szCs w:val="21"/>
              </w:rPr>
              <w:t>FY18</w:t>
            </w:r>
            <w:r w:rsidRPr="000104E7">
              <w:rPr>
                <w:rStyle w:val="apple-converted-space"/>
                <w:rFonts w:ascii="Calibri Light" w:hAnsi="Calibri Light" w:cs="Calibri Light"/>
                <w:color w:val="000000"/>
                <w:sz w:val="21"/>
                <w:szCs w:val="21"/>
              </w:rPr>
              <w:t> </w:t>
            </w:r>
            <w:r w:rsidRPr="000104E7">
              <w:rPr>
                <w:rFonts w:ascii="Calibri Light" w:hAnsi="Calibri Light" w:cs="Calibri Light"/>
                <w:color w:val="000000"/>
                <w:sz w:val="21"/>
                <w:szCs w:val="21"/>
              </w:rPr>
              <w:t>is Oct. 31. As of Oct. 25, the percentage of completed evaluations for each operating area is:</w:t>
            </w:r>
          </w:p>
          <w:p w14:paraId="4A5D7542" w14:textId="77777777" w:rsidR="000104E7" w:rsidRPr="000104E7" w:rsidRDefault="000104E7" w:rsidP="000104E7">
            <w:pPr>
              <w:pStyle w:val="ListParagraph"/>
              <w:numPr>
                <w:ilvl w:val="0"/>
                <w:numId w:val="8"/>
              </w:numPr>
              <w:shd w:val="clear" w:color="auto" w:fill="FFFFFF"/>
              <w:spacing w:before="100" w:beforeAutospacing="1" w:after="100" w:afterAutospacing="1" w:line="276" w:lineRule="atLeast"/>
              <w:contextualSpacing w:val="0"/>
              <w:rPr>
                <w:rFonts w:ascii="Calibri Light" w:hAnsi="Calibri Light" w:cs="Calibri Light"/>
                <w:color w:val="000000"/>
                <w:sz w:val="21"/>
                <w:szCs w:val="21"/>
              </w:rPr>
            </w:pPr>
            <w:r w:rsidRPr="000104E7">
              <w:rPr>
                <w:rFonts w:ascii="Calibri Light" w:hAnsi="Calibri Light" w:cs="Calibri Light"/>
                <w:b/>
                <w:color w:val="000000"/>
                <w:sz w:val="21"/>
                <w:szCs w:val="21"/>
              </w:rPr>
              <w:t>Academic Enterprise</w:t>
            </w:r>
            <w:r w:rsidRPr="000104E7">
              <w:rPr>
                <w:rFonts w:ascii="Calibri Light" w:hAnsi="Calibri Light" w:cs="Calibri Light"/>
                <w:color w:val="000000"/>
                <w:sz w:val="21"/>
                <w:szCs w:val="21"/>
              </w:rPr>
              <w:t xml:space="preserve"> – 50.5 percent</w:t>
            </w:r>
          </w:p>
          <w:p w14:paraId="7E682F4D" w14:textId="69C5C241" w:rsidR="000104E7" w:rsidRPr="000104E7" w:rsidRDefault="000104E7" w:rsidP="000104E7">
            <w:pPr>
              <w:pStyle w:val="ListParagraph"/>
              <w:numPr>
                <w:ilvl w:val="0"/>
                <w:numId w:val="8"/>
              </w:numPr>
              <w:shd w:val="clear" w:color="auto" w:fill="FFFFFF"/>
              <w:spacing w:before="100" w:beforeAutospacing="1" w:after="100" w:afterAutospacing="1" w:line="276" w:lineRule="atLeast"/>
              <w:contextualSpacing w:val="0"/>
              <w:rPr>
                <w:rFonts w:ascii="Calibri Light" w:hAnsi="Calibri Light" w:cs="Calibri Light"/>
                <w:color w:val="000000"/>
                <w:sz w:val="21"/>
                <w:szCs w:val="21"/>
              </w:rPr>
            </w:pPr>
            <w:r w:rsidRPr="000104E7">
              <w:rPr>
                <w:rFonts w:ascii="Calibri Light" w:hAnsi="Calibri Light" w:cs="Calibri Light"/>
                <w:b/>
                <w:color w:val="000000"/>
                <w:sz w:val="21"/>
                <w:szCs w:val="21"/>
              </w:rPr>
              <w:t>Hea</w:t>
            </w:r>
            <w:r>
              <w:rPr>
                <w:rFonts w:ascii="Calibri Light" w:hAnsi="Calibri Light" w:cs="Calibri Light"/>
                <w:b/>
                <w:color w:val="000000"/>
                <w:sz w:val="21"/>
                <w:szCs w:val="21"/>
              </w:rPr>
              <w:t>l</w:t>
            </w:r>
            <w:r w:rsidRPr="000104E7">
              <w:rPr>
                <w:rFonts w:ascii="Calibri Light" w:hAnsi="Calibri Light" w:cs="Calibri Light"/>
                <w:b/>
                <w:color w:val="000000"/>
                <w:sz w:val="21"/>
                <w:szCs w:val="21"/>
              </w:rPr>
              <w:t>th System</w:t>
            </w:r>
            <w:r w:rsidRPr="000104E7">
              <w:rPr>
                <w:rFonts w:ascii="Calibri Light" w:hAnsi="Calibri Light" w:cs="Calibri Light"/>
                <w:color w:val="000000"/>
                <w:sz w:val="21"/>
                <w:szCs w:val="21"/>
              </w:rPr>
              <w:t xml:space="preserve"> – 81.3 percent</w:t>
            </w:r>
          </w:p>
          <w:p w14:paraId="7DEBA45D" w14:textId="77777777" w:rsidR="000104E7" w:rsidRPr="000104E7" w:rsidRDefault="000104E7" w:rsidP="000104E7">
            <w:pPr>
              <w:pStyle w:val="ListParagraph"/>
              <w:numPr>
                <w:ilvl w:val="0"/>
                <w:numId w:val="8"/>
              </w:numPr>
              <w:shd w:val="clear" w:color="auto" w:fill="FFFFFF"/>
              <w:spacing w:before="100" w:beforeAutospacing="1" w:after="100" w:afterAutospacing="1" w:line="276" w:lineRule="atLeast"/>
              <w:contextualSpacing w:val="0"/>
              <w:rPr>
                <w:rFonts w:ascii="Calibri Light" w:hAnsi="Calibri Light" w:cs="Calibri Light"/>
                <w:color w:val="000000"/>
                <w:sz w:val="21"/>
                <w:szCs w:val="21"/>
              </w:rPr>
            </w:pPr>
            <w:r w:rsidRPr="000104E7">
              <w:rPr>
                <w:rFonts w:ascii="Calibri Light" w:hAnsi="Calibri Light" w:cs="Calibri Light"/>
                <w:b/>
                <w:color w:val="000000"/>
                <w:sz w:val="21"/>
                <w:szCs w:val="21"/>
              </w:rPr>
              <w:t>Institutional Support</w:t>
            </w:r>
            <w:r w:rsidRPr="000104E7">
              <w:rPr>
                <w:rFonts w:ascii="Calibri Light" w:hAnsi="Calibri Light" w:cs="Calibri Light"/>
                <w:color w:val="000000"/>
                <w:sz w:val="21"/>
                <w:szCs w:val="21"/>
              </w:rPr>
              <w:t xml:space="preserve"> – 67.9 percent</w:t>
            </w:r>
          </w:p>
          <w:p w14:paraId="540D8CAE" w14:textId="77777777" w:rsidR="000104E7" w:rsidRPr="000104E7" w:rsidRDefault="000104E7" w:rsidP="000104E7">
            <w:pPr>
              <w:pStyle w:val="ListParagraph"/>
              <w:numPr>
                <w:ilvl w:val="0"/>
                <w:numId w:val="8"/>
              </w:numPr>
              <w:shd w:val="clear" w:color="auto" w:fill="FFFFFF"/>
              <w:spacing w:before="100" w:beforeAutospacing="1" w:after="100" w:afterAutospacing="1" w:line="276" w:lineRule="atLeast"/>
              <w:contextualSpacing w:val="0"/>
              <w:rPr>
                <w:rFonts w:ascii="Calibri Light" w:hAnsi="Calibri Light" w:cs="Calibri Light"/>
                <w:color w:val="000000"/>
                <w:sz w:val="21"/>
                <w:szCs w:val="21"/>
              </w:rPr>
            </w:pPr>
            <w:r w:rsidRPr="000104E7">
              <w:rPr>
                <w:rFonts w:ascii="Calibri Light" w:hAnsi="Calibri Light" w:cs="Calibri Light"/>
                <w:b/>
                <w:color w:val="000000"/>
                <w:sz w:val="21"/>
                <w:szCs w:val="21"/>
              </w:rPr>
              <w:t>Office of the President</w:t>
            </w:r>
            <w:r w:rsidRPr="000104E7">
              <w:rPr>
                <w:rFonts w:ascii="Calibri Light" w:hAnsi="Calibri Light" w:cs="Calibri Light"/>
                <w:color w:val="000000"/>
                <w:sz w:val="21"/>
                <w:szCs w:val="21"/>
              </w:rPr>
              <w:t xml:space="preserve"> – 88.3 percent</w:t>
            </w:r>
          </w:p>
          <w:p w14:paraId="26DAC3A8" w14:textId="77777777" w:rsidR="000104E7" w:rsidRPr="000104E7" w:rsidRDefault="000104E7" w:rsidP="000104E7">
            <w:pPr>
              <w:pStyle w:val="ListParagraph"/>
              <w:numPr>
                <w:ilvl w:val="0"/>
                <w:numId w:val="8"/>
              </w:numPr>
              <w:shd w:val="clear" w:color="auto" w:fill="FFFFFF"/>
              <w:spacing w:before="100" w:beforeAutospacing="1" w:after="100" w:afterAutospacing="1" w:line="276" w:lineRule="atLeast"/>
              <w:contextualSpacing w:val="0"/>
              <w:rPr>
                <w:rFonts w:ascii="Calibri Light" w:hAnsi="Calibri Light" w:cs="Calibri Light"/>
                <w:color w:val="000000"/>
                <w:sz w:val="21"/>
                <w:szCs w:val="21"/>
              </w:rPr>
            </w:pPr>
            <w:r w:rsidRPr="000104E7">
              <w:rPr>
                <w:rFonts w:ascii="Calibri Light" w:hAnsi="Calibri Light" w:cs="Calibri Light"/>
                <w:b/>
                <w:color w:val="000000"/>
                <w:sz w:val="21"/>
                <w:szCs w:val="21"/>
              </w:rPr>
              <w:t>Overall UTMB</w:t>
            </w:r>
            <w:r w:rsidRPr="000104E7">
              <w:rPr>
                <w:rFonts w:ascii="Calibri Light" w:hAnsi="Calibri Light" w:cs="Calibri Light"/>
                <w:color w:val="000000"/>
                <w:sz w:val="21"/>
                <w:szCs w:val="21"/>
              </w:rPr>
              <w:t xml:space="preserve"> – 74.5 percent</w:t>
            </w:r>
          </w:p>
          <w:p w14:paraId="3190D2B5" w14:textId="77777777" w:rsidR="000104E7" w:rsidRDefault="000104E7" w:rsidP="000104E7">
            <w:pPr>
              <w:shd w:val="clear" w:color="auto" w:fill="FFFFFF"/>
              <w:spacing w:line="253" w:lineRule="atLeast"/>
              <w:ind w:right="18"/>
              <w:rPr>
                <w:rFonts w:ascii="Calibri" w:hAnsi="Calibri" w:cs="Calibri"/>
                <w:color w:val="000000"/>
              </w:rPr>
            </w:pPr>
            <w:r w:rsidRPr="000104E7">
              <w:rPr>
                <w:rFonts w:ascii="Calibri Light" w:hAnsi="Calibri Light" w:cs="Calibri Light"/>
                <w:color w:val="000000"/>
                <w:sz w:val="21"/>
                <w:szCs w:val="21"/>
              </w:rPr>
              <w:t xml:space="preserve">For an evaluation to be considered final in the </w:t>
            </w:r>
            <w:proofErr w:type="spellStart"/>
            <w:r w:rsidRPr="000104E7">
              <w:rPr>
                <w:rFonts w:ascii="Calibri Light" w:hAnsi="Calibri Light" w:cs="Calibri Light"/>
                <w:color w:val="000000"/>
                <w:sz w:val="21"/>
                <w:szCs w:val="21"/>
              </w:rPr>
              <w:t>ePerformance</w:t>
            </w:r>
            <w:proofErr w:type="spellEnd"/>
            <w:r w:rsidRPr="000104E7">
              <w:rPr>
                <w:rFonts w:ascii="Calibri Light" w:hAnsi="Calibri Light" w:cs="Calibri Light"/>
                <w:color w:val="000000"/>
                <w:sz w:val="21"/>
                <w:szCs w:val="21"/>
              </w:rPr>
              <w:t xml:space="preserve"> system, managers must mark the performance document as complete after the employee electronically acknowledges the evaluation.</w:t>
            </w:r>
            <w:r w:rsidRPr="000104E7">
              <w:rPr>
                <w:rStyle w:val="apple-converted-space"/>
                <w:rFonts w:ascii="Calibri Light" w:hAnsi="Calibri Light" w:cs="Calibri Light"/>
                <w:color w:val="000000"/>
                <w:sz w:val="21"/>
                <w:szCs w:val="21"/>
              </w:rPr>
              <w:t> </w:t>
            </w:r>
            <w:r w:rsidRPr="000104E7">
              <w:rPr>
                <w:rFonts w:ascii="Calibri Light" w:hAnsi="Calibri Light" w:cs="Calibri Light"/>
                <w:color w:val="000000"/>
                <w:sz w:val="21"/>
                <w:szCs w:val="21"/>
              </w:rPr>
              <w:t>See</w:t>
            </w:r>
            <w:r w:rsidRPr="000104E7">
              <w:rPr>
                <w:rStyle w:val="apple-converted-space"/>
                <w:rFonts w:ascii="Calibri Light" w:hAnsi="Calibri Light" w:cs="Calibri Light"/>
                <w:color w:val="000000"/>
                <w:sz w:val="21"/>
                <w:szCs w:val="21"/>
              </w:rPr>
              <w:t> </w:t>
            </w:r>
            <w:hyperlink r:id="rId14" w:history="1">
              <w:r w:rsidRPr="000104E7">
                <w:rPr>
                  <w:rStyle w:val="Hyperlink"/>
                  <w:rFonts w:ascii="Calibri Light" w:hAnsi="Calibri Light" w:cs="Calibri Light"/>
                  <w:color w:val="954F72"/>
                  <w:sz w:val="21"/>
                  <w:szCs w:val="21"/>
                </w:rPr>
                <w:t>https://hr.utmb.edu/relations/performance/</w:t>
              </w:r>
            </w:hyperlink>
            <w:r w:rsidRPr="000104E7">
              <w:rPr>
                <w:rStyle w:val="apple-converted-space"/>
                <w:rFonts w:ascii="Calibri Light" w:hAnsi="Calibri Light" w:cs="Calibri Light"/>
                <w:color w:val="000000"/>
                <w:sz w:val="21"/>
                <w:szCs w:val="21"/>
              </w:rPr>
              <w:t> </w:t>
            </w:r>
            <w:r w:rsidRPr="000104E7">
              <w:rPr>
                <w:rFonts w:ascii="Calibri Light" w:hAnsi="Calibri Light" w:cs="Calibri Light"/>
                <w:color w:val="000000"/>
                <w:sz w:val="21"/>
                <w:szCs w:val="21"/>
              </w:rPr>
              <w:t>or</w:t>
            </w:r>
            <w:r w:rsidRPr="000104E7">
              <w:rPr>
                <w:rStyle w:val="apple-converted-space"/>
                <w:rFonts w:ascii="Calibri Light" w:hAnsi="Calibri Light" w:cs="Calibri Light"/>
                <w:color w:val="000000"/>
                <w:sz w:val="21"/>
                <w:szCs w:val="21"/>
              </w:rPr>
              <w:t> </w:t>
            </w:r>
            <w:r w:rsidRPr="000104E7">
              <w:rPr>
                <w:rFonts w:ascii="Calibri Light" w:hAnsi="Calibri Light" w:cs="Calibri Light"/>
                <w:color w:val="000000"/>
                <w:sz w:val="21"/>
                <w:szCs w:val="21"/>
              </w:rPr>
              <w:t>contact your assigned</w:t>
            </w:r>
            <w:r w:rsidRPr="000104E7">
              <w:rPr>
                <w:rStyle w:val="apple-converted-space"/>
                <w:rFonts w:ascii="Calibri Light" w:hAnsi="Calibri Light" w:cs="Calibri Light"/>
                <w:color w:val="000000"/>
                <w:sz w:val="21"/>
                <w:szCs w:val="21"/>
              </w:rPr>
              <w:t> </w:t>
            </w:r>
            <w:hyperlink r:id="rId15" w:history="1">
              <w:r w:rsidRPr="000104E7">
                <w:rPr>
                  <w:rStyle w:val="Hyperlink"/>
                  <w:rFonts w:ascii="Calibri Light" w:hAnsi="Calibri Light" w:cs="Calibri Light"/>
                  <w:color w:val="EA2839"/>
                  <w:sz w:val="21"/>
                  <w:szCs w:val="21"/>
                </w:rPr>
                <w:t>Employee Relations Advisor</w:t>
              </w:r>
            </w:hyperlink>
            <w:r w:rsidRPr="000104E7">
              <w:rPr>
                <w:rStyle w:val="apple-converted-space"/>
                <w:rFonts w:ascii="Calibri Light" w:hAnsi="Calibri Light" w:cs="Calibri Light"/>
                <w:color w:val="000000"/>
                <w:sz w:val="21"/>
                <w:szCs w:val="21"/>
              </w:rPr>
              <w:t> </w:t>
            </w:r>
            <w:r w:rsidRPr="000104E7">
              <w:rPr>
                <w:rFonts w:ascii="Calibri Light" w:hAnsi="Calibri Light" w:cs="Calibri Light"/>
                <w:color w:val="000000"/>
                <w:sz w:val="21"/>
                <w:szCs w:val="21"/>
              </w:rPr>
              <w:t>for further assistance with the annual evaluation process.</w:t>
            </w:r>
          </w:p>
          <w:p w14:paraId="5821D9D7" w14:textId="5410B534" w:rsidR="000104E7" w:rsidRDefault="000104E7" w:rsidP="000104E7">
            <w:pPr>
              <w:shd w:val="clear" w:color="auto" w:fill="FFFFFF"/>
              <w:spacing w:line="253" w:lineRule="atLeast"/>
              <w:rPr>
                <w:rFonts w:ascii="Calibri Light" w:hAnsi="Calibri Light" w:cs="Calibri Light"/>
                <w:color w:val="000000"/>
                <w:sz w:val="21"/>
                <w:szCs w:val="21"/>
              </w:rPr>
            </w:pPr>
          </w:p>
          <w:p w14:paraId="6263B841" w14:textId="00952AF8" w:rsidR="000104E7" w:rsidRPr="005D163A" w:rsidRDefault="00B46CD5" w:rsidP="000104E7">
            <w:pPr>
              <w:rPr>
                <w:rFonts w:asciiTheme="majorHAnsi" w:hAnsiTheme="majorHAnsi" w:cs="Arial"/>
                <w:b/>
                <w:color w:val="000000" w:themeColor="text1"/>
                <w:szCs w:val="20"/>
              </w:rPr>
            </w:pPr>
            <w:r>
              <w:rPr>
                <w:rFonts w:asciiTheme="majorHAnsi" w:hAnsiTheme="majorHAnsi" w:cs="Arial"/>
                <w:b/>
                <w:color w:val="000000" w:themeColor="text1"/>
                <w:szCs w:val="20"/>
              </w:rPr>
              <w:t>UT FLEX program upcoming deadlines</w:t>
            </w:r>
            <w:r w:rsidR="000104E7">
              <w:rPr>
                <w:rFonts w:asciiTheme="majorHAnsi" w:hAnsiTheme="majorHAnsi" w:cs="Arial"/>
                <w:b/>
                <w:color w:val="000000" w:themeColor="text1"/>
                <w:szCs w:val="20"/>
              </w:rPr>
              <w:t>:</w:t>
            </w:r>
          </w:p>
          <w:p w14:paraId="5A7DD9E9" w14:textId="330D6BC1" w:rsidR="00B46CD5" w:rsidRDefault="00B46CD5" w:rsidP="00B46CD5">
            <w:pPr>
              <w:pStyle w:val="NoSpacing"/>
              <w:spacing w:line="253" w:lineRule="atLeast"/>
              <w:ind w:right="198"/>
              <w:rPr>
                <w:rStyle w:val="apple-converted-space"/>
                <w:rFonts w:ascii="Calibri Light" w:hAnsi="Calibri Light" w:cs="Calibri Light"/>
                <w:color w:val="000000"/>
                <w:sz w:val="21"/>
                <w:szCs w:val="21"/>
              </w:rPr>
            </w:pPr>
            <w:r w:rsidRPr="00B46CD5">
              <w:rPr>
                <w:rFonts w:ascii="Calibri Light" w:hAnsi="Calibri Light" w:cs="Calibri Light"/>
                <w:color w:val="000000"/>
                <w:sz w:val="21"/>
                <w:szCs w:val="21"/>
              </w:rPr>
              <w:t>The deadlines for incurring expenses and filing reimbursement claims for your FY18 flexible spending accounts are approaching.</w:t>
            </w:r>
          </w:p>
          <w:p w14:paraId="24EBA7CD" w14:textId="77777777" w:rsidR="00B46CD5" w:rsidRPr="00B46CD5" w:rsidRDefault="00B46CD5" w:rsidP="00B46CD5">
            <w:pPr>
              <w:pStyle w:val="NoSpacing"/>
              <w:spacing w:line="253" w:lineRule="atLeast"/>
              <w:ind w:right="198"/>
              <w:rPr>
                <w:rFonts w:ascii="Calibri Light" w:hAnsi="Calibri Light" w:cs="Calibri Light"/>
                <w:color w:val="000000"/>
                <w:sz w:val="21"/>
                <w:szCs w:val="21"/>
              </w:rPr>
            </w:pPr>
          </w:p>
          <w:p w14:paraId="0876FDCC" w14:textId="77777777" w:rsidR="00B46CD5" w:rsidRDefault="00B46CD5" w:rsidP="00B46CD5">
            <w:pPr>
              <w:pStyle w:val="NoSpacing"/>
              <w:spacing w:line="253" w:lineRule="atLeast"/>
              <w:ind w:left="360"/>
              <w:rPr>
                <w:rFonts w:ascii="Calibri Light" w:hAnsi="Calibri Light" w:cs="Calibri Light"/>
                <w:b/>
                <w:color w:val="000000"/>
                <w:sz w:val="21"/>
                <w:szCs w:val="21"/>
                <w:u w:val="single"/>
              </w:rPr>
            </w:pPr>
            <w:r w:rsidRPr="00B46CD5">
              <w:rPr>
                <w:rFonts w:ascii="Calibri Light" w:hAnsi="Calibri Light" w:cs="Calibri Light"/>
                <w:b/>
                <w:color w:val="000000"/>
                <w:sz w:val="21"/>
                <w:szCs w:val="21"/>
                <w:u w:val="single"/>
              </w:rPr>
              <w:t>UT FLEX Health Care Reimbursement Account</w:t>
            </w:r>
          </w:p>
          <w:p w14:paraId="6D42B9FD" w14:textId="77777777" w:rsidR="00B46CD5" w:rsidRDefault="00B46CD5" w:rsidP="00B46CD5">
            <w:pPr>
              <w:pStyle w:val="NoSpacing"/>
              <w:numPr>
                <w:ilvl w:val="0"/>
                <w:numId w:val="9"/>
              </w:numPr>
              <w:spacing w:line="253" w:lineRule="atLeast"/>
              <w:rPr>
                <w:rFonts w:ascii="Calibri Light" w:hAnsi="Calibri Light" w:cs="Calibri Light"/>
                <w:color w:val="000000"/>
                <w:sz w:val="21"/>
                <w:szCs w:val="21"/>
              </w:rPr>
            </w:pPr>
            <w:r w:rsidRPr="00B46CD5">
              <w:rPr>
                <w:rFonts w:ascii="Calibri Light" w:hAnsi="Calibri Light" w:cs="Calibri Light"/>
                <w:color w:val="000000"/>
                <w:sz w:val="21"/>
                <w:szCs w:val="21"/>
              </w:rPr>
              <w:t>Last day to incur expenses – Nov. 15, 2018</w:t>
            </w:r>
          </w:p>
          <w:p w14:paraId="67C77E20" w14:textId="792721A5" w:rsidR="00B46CD5" w:rsidRPr="00B46CD5" w:rsidRDefault="00B46CD5" w:rsidP="00B46CD5">
            <w:pPr>
              <w:pStyle w:val="NoSpacing"/>
              <w:numPr>
                <w:ilvl w:val="0"/>
                <w:numId w:val="9"/>
              </w:numPr>
              <w:spacing w:line="253" w:lineRule="atLeast"/>
              <w:rPr>
                <w:rFonts w:ascii="Calibri Light" w:hAnsi="Calibri Light" w:cs="Calibri Light"/>
                <w:b/>
                <w:color w:val="000000"/>
                <w:sz w:val="21"/>
                <w:szCs w:val="21"/>
              </w:rPr>
            </w:pPr>
            <w:r w:rsidRPr="00B46CD5">
              <w:rPr>
                <w:rFonts w:ascii="Calibri Light" w:hAnsi="Calibri Light" w:cs="Calibri Light"/>
                <w:color w:val="000000"/>
                <w:sz w:val="21"/>
                <w:szCs w:val="21"/>
              </w:rPr>
              <w:t>Claim filing deadline – Nov. 30, 2018</w:t>
            </w:r>
          </w:p>
          <w:p w14:paraId="3F3DC481" w14:textId="77777777" w:rsidR="00B46CD5" w:rsidRDefault="00B46CD5" w:rsidP="00B46CD5">
            <w:pPr>
              <w:pStyle w:val="NoSpacing"/>
              <w:spacing w:line="253" w:lineRule="atLeast"/>
              <w:ind w:left="360"/>
              <w:rPr>
                <w:rFonts w:ascii="Calibri Light" w:hAnsi="Calibri Light" w:cs="Calibri Light"/>
                <w:b/>
                <w:color w:val="000000"/>
                <w:sz w:val="21"/>
                <w:szCs w:val="21"/>
                <w:u w:val="single"/>
              </w:rPr>
            </w:pPr>
          </w:p>
          <w:p w14:paraId="6B3E7859" w14:textId="4BB6CF5B" w:rsidR="00B46CD5" w:rsidRPr="00B46CD5" w:rsidRDefault="00B46CD5" w:rsidP="00B46CD5">
            <w:pPr>
              <w:pStyle w:val="NoSpacing"/>
              <w:spacing w:line="253" w:lineRule="atLeast"/>
              <w:ind w:left="360"/>
              <w:rPr>
                <w:rFonts w:ascii="Calibri Light" w:hAnsi="Calibri Light" w:cs="Calibri Light"/>
                <w:b/>
                <w:color w:val="000000"/>
                <w:sz w:val="21"/>
                <w:szCs w:val="21"/>
              </w:rPr>
            </w:pPr>
            <w:r w:rsidRPr="00B46CD5">
              <w:rPr>
                <w:rFonts w:ascii="Calibri Light" w:hAnsi="Calibri Light" w:cs="Calibri Light"/>
                <w:b/>
                <w:color w:val="000000"/>
                <w:sz w:val="21"/>
                <w:szCs w:val="21"/>
                <w:u w:val="single"/>
              </w:rPr>
              <w:t>UT FLEX Dependent Day Care Reimbursement Account</w:t>
            </w:r>
          </w:p>
          <w:p w14:paraId="70D29434" w14:textId="77777777" w:rsidR="00B46CD5" w:rsidRDefault="00B46CD5" w:rsidP="00B46CD5">
            <w:pPr>
              <w:pStyle w:val="NoSpacing"/>
              <w:numPr>
                <w:ilvl w:val="0"/>
                <w:numId w:val="10"/>
              </w:numPr>
              <w:spacing w:line="253" w:lineRule="atLeast"/>
              <w:rPr>
                <w:rFonts w:ascii="Calibri Light" w:hAnsi="Calibri Light" w:cs="Calibri Light"/>
                <w:color w:val="000000"/>
                <w:sz w:val="21"/>
                <w:szCs w:val="21"/>
              </w:rPr>
            </w:pPr>
            <w:r w:rsidRPr="00B46CD5">
              <w:rPr>
                <w:rFonts w:ascii="Calibri Light" w:hAnsi="Calibri Light" w:cs="Calibri Light"/>
                <w:color w:val="000000"/>
                <w:sz w:val="21"/>
                <w:szCs w:val="21"/>
              </w:rPr>
              <w:t>Last day to incur expenses – Aug. 31, 2018 (last day of plan year)</w:t>
            </w:r>
          </w:p>
          <w:p w14:paraId="3745EDA7" w14:textId="31FDCDF2" w:rsidR="00B46CD5" w:rsidRPr="00B46CD5" w:rsidRDefault="00B46CD5" w:rsidP="00B46CD5">
            <w:pPr>
              <w:pStyle w:val="NoSpacing"/>
              <w:numPr>
                <w:ilvl w:val="0"/>
                <w:numId w:val="10"/>
              </w:numPr>
              <w:spacing w:line="253" w:lineRule="atLeast"/>
              <w:rPr>
                <w:rFonts w:ascii="Calibri Light" w:hAnsi="Calibri Light" w:cs="Calibri Light"/>
                <w:color w:val="000000"/>
                <w:sz w:val="21"/>
                <w:szCs w:val="21"/>
              </w:rPr>
            </w:pPr>
            <w:r w:rsidRPr="00B46CD5">
              <w:rPr>
                <w:rFonts w:ascii="Calibri Light" w:hAnsi="Calibri Light" w:cs="Calibri Light"/>
                <w:color w:val="000000"/>
                <w:sz w:val="21"/>
                <w:szCs w:val="21"/>
              </w:rPr>
              <w:t>Claim filing deadline – Nov. 30, 2018</w:t>
            </w:r>
          </w:p>
          <w:p w14:paraId="10BAEF8B" w14:textId="77777777" w:rsidR="00B46CD5" w:rsidRPr="00B46CD5" w:rsidRDefault="00B46CD5" w:rsidP="00B46CD5">
            <w:pPr>
              <w:pStyle w:val="NoSpacing"/>
              <w:spacing w:line="253" w:lineRule="atLeast"/>
              <w:rPr>
                <w:rFonts w:ascii="Calibri Light" w:hAnsi="Calibri Light" w:cs="Calibri Light"/>
                <w:color w:val="000000"/>
                <w:sz w:val="21"/>
                <w:szCs w:val="21"/>
              </w:rPr>
            </w:pPr>
            <w:r w:rsidRPr="00B46CD5">
              <w:rPr>
                <w:rFonts w:ascii="Calibri Light" w:hAnsi="Calibri Light" w:cs="Calibri Light"/>
                <w:color w:val="000000"/>
                <w:sz w:val="21"/>
                <w:szCs w:val="21"/>
              </w:rPr>
              <w:t> </w:t>
            </w:r>
          </w:p>
          <w:p w14:paraId="6E847319" w14:textId="77777777" w:rsidR="00B46CD5" w:rsidRPr="00B46CD5" w:rsidRDefault="00B46CD5" w:rsidP="00B46CD5">
            <w:pPr>
              <w:spacing w:line="253" w:lineRule="atLeast"/>
              <w:rPr>
                <w:rFonts w:ascii="Calibri Light" w:hAnsi="Calibri Light" w:cs="Calibri Light"/>
                <w:color w:val="000000"/>
                <w:sz w:val="21"/>
                <w:szCs w:val="21"/>
              </w:rPr>
            </w:pPr>
            <w:r w:rsidRPr="00B46CD5">
              <w:rPr>
                <w:rFonts w:ascii="Calibri Light" w:hAnsi="Calibri Light" w:cs="Calibri Light"/>
                <w:color w:val="000000"/>
                <w:sz w:val="21"/>
                <w:szCs w:val="21"/>
              </w:rPr>
              <w:t>See</w:t>
            </w:r>
            <w:r w:rsidRPr="00B46CD5">
              <w:rPr>
                <w:rStyle w:val="apple-converted-space"/>
                <w:rFonts w:ascii="Calibri Light" w:hAnsi="Calibri Light" w:cs="Calibri Light"/>
                <w:color w:val="000000"/>
                <w:sz w:val="21"/>
                <w:szCs w:val="21"/>
              </w:rPr>
              <w:t> </w:t>
            </w:r>
            <w:hyperlink r:id="rId16" w:history="1">
              <w:r w:rsidRPr="00B46CD5">
                <w:rPr>
                  <w:rStyle w:val="Hyperlink"/>
                  <w:rFonts w:ascii="Calibri Light" w:hAnsi="Calibri Light" w:cs="Calibri Light"/>
                  <w:color w:val="EA2839"/>
                  <w:sz w:val="21"/>
                  <w:szCs w:val="21"/>
                </w:rPr>
                <w:t>www.myutflex.com</w:t>
              </w:r>
            </w:hyperlink>
            <w:r w:rsidRPr="00B46CD5">
              <w:rPr>
                <w:rStyle w:val="apple-converted-space"/>
                <w:rFonts w:ascii="Calibri Light" w:hAnsi="Calibri Light" w:cs="Calibri Light"/>
                <w:color w:val="000000"/>
                <w:sz w:val="21"/>
                <w:szCs w:val="21"/>
              </w:rPr>
              <w:t> </w:t>
            </w:r>
            <w:r w:rsidRPr="00B46CD5">
              <w:rPr>
                <w:rFonts w:ascii="Calibri Light" w:hAnsi="Calibri Light" w:cs="Calibri Light"/>
                <w:color w:val="000000"/>
                <w:sz w:val="21"/>
                <w:szCs w:val="21"/>
              </w:rPr>
              <w:t>for list of eligible expenses or to file a claim.</w:t>
            </w:r>
          </w:p>
          <w:p w14:paraId="20045CAA" w14:textId="77777777" w:rsidR="000104E7" w:rsidRPr="000104E7" w:rsidRDefault="000104E7" w:rsidP="000104E7">
            <w:pPr>
              <w:shd w:val="clear" w:color="auto" w:fill="FFFFFF"/>
              <w:spacing w:line="253" w:lineRule="atLeast"/>
              <w:rPr>
                <w:rFonts w:ascii="Calibri Light" w:hAnsi="Calibri Light" w:cs="Calibri Light"/>
                <w:color w:val="000000"/>
                <w:sz w:val="21"/>
                <w:szCs w:val="21"/>
              </w:rPr>
            </w:pPr>
          </w:p>
          <w:p w14:paraId="5342F68A" w14:textId="77777777" w:rsidR="000104E7" w:rsidRDefault="000104E7" w:rsidP="000104E7">
            <w:pPr>
              <w:shd w:val="clear" w:color="auto" w:fill="FFFFFF"/>
              <w:spacing w:line="253" w:lineRule="atLeast"/>
              <w:rPr>
                <w:rFonts w:ascii="Calibri" w:hAnsi="Calibri" w:cs="Calibri"/>
                <w:color w:val="000000"/>
              </w:rPr>
            </w:pPr>
            <w:r>
              <w:rPr>
                <w:rFonts w:ascii="Arial" w:hAnsi="Arial" w:cs="Arial"/>
                <w:b/>
                <w:bCs/>
                <w:color w:val="000000"/>
              </w:rPr>
              <w:t> </w:t>
            </w:r>
          </w:p>
          <w:p w14:paraId="33D5B003" w14:textId="34698909" w:rsidR="00A608B5" w:rsidRPr="00A608B5" w:rsidRDefault="00A608B5" w:rsidP="00C805D3">
            <w:pPr>
              <w:rPr>
                <w:rFonts w:ascii="Calibri Light" w:hAnsi="Calibri Light" w:cs="Calibri Light"/>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8C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83"/>
        </w:trPr>
        <w:tc>
          <w:tcPr>
            <w:tcW w:w="5130" w:type="dxa"/>
            <w:gridSpan w:val="3"/>
            <w:vMerge w:val="restart"/>
            <w:tcBorders>
              <w:top w:val="single" w:sz="8" w:space="0" w:color="auto"/>
              <w:left w:val="single" w:sz="8" w:space="0" w:color="auto"/>
              <w:right w:val="single" w:sz="4" w:space="0" w:color="auto"/>
            </w:tcBorders>
          </w:tcPr>
          <w:p w14:paraId="0E2E29C0" w14:textId="77777777" w:rsidR="004774D4" w:rsidRDefault="004774D4" w:rsidP="00A0029C">
            <w:pPr>
              <w:rPr>
                <w:rFonts w:asciiTheme="majorHAnsi" w:hAnsiTheme="majorHAnsi" w:cstheme="majorHAnsi"/>
                <w:b/>
                <w:bCs/>
              </w:rPr>
            </w:pPr>
          </w:p>
          <w:p w14:paraId="1B9EE961" w14:textId="679108DA" w:rsidR="00AD21D6" w:rsidRDefault="00AD21D6" w:rsidP="00AD21D6">
            <w:pPr>
              <w:spacing w:before="120"/>
              <w:rPr>
                <w:rFonts w:asciiTheme="majorHAnsi" w:hAnsiTheme="majorHAnsi"/>
                <w:b/>
              </w:rPr>
            </w:pPr>
            <w:bookmarkStart w:id="0" w:name="_GoBack"/>
            <w:bookmarkEnd w:id="0"/>
            <w:r>
              <w:rPr>
                <w:rFonts w:asciiTheme="majorHAnsi" w:hAnsiTheme="majorHAnsi"/>
                <w:noProof/>
                <w:sz w:val="20"/>
              </w:rPr>
              <w:drawing>
                <wp:anchor distT="0" distB="0" distL="114300" distR="114300" simplePos="0" relativeHeight="251761152" behindDoc="0" locked="0" layoutInCell="1" allowOverlap="1" wp14:anchorId="5D1F7A64" wp14:editId="1BA737C1">
                  <wp:simplePos x="0" y="0"/>
                  <wp:positionH relativeFrom="column">
                    <wp:posOffset>-5080</wp:posOffset>
                  </wp:positionH>
                  <wp:positionV relativeFrom="paragraph">
                    <wp:posOffset>3810</wp:posOffset>
                  </wp:positionV>
                  <wp:extent cx="199390" cy="2324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Dr. </w:t>
            </w:r>
            <w:r w:rsidR="008C6DB8">
              <w:rPr>
                <w:rFonts w:asciiTheme="majorHAnsi" w:hAnsiTheme="majorHAnsi"/>
                <w:b/>
              </w:rPr>
              <w:t>Klein elected fellow to American Society of Bone and Mineral Research</w:t>
            </w:r>
            <w:r>
              <w:rPr>
                <w:rFonts w:asciiTheme="majorHAnsi" w:hAnsiTheme="majorHAnsi"/>
                <w:b/>
              </w:rPr>
              <w:t>:</w:t>
            </w:r>
          </w:p>
          <w:p w14:paraId="01B4DA02" w14:textId="420D7547" w:rsidR="008C6DB8" w:rsidRPr="008C6DB8" w:rsidRDefault="008C6DB8" w:rsidP="008C6DB8">
            <w:pPr>
              <w:rPr>
                <w:rFonts w:ascii="Calibri Light" w:hAnsi="Calibri Light" w:cs="Calibri Light"/>
                <w:sz w:val="21"/>
                <w:szCs w:val="21"/>
              </w:rPr>
            </w:pPr>
            <w:r w:rsidRPr="008C6DB8">
              <w:rPr>
                <w:rStyle w:val="a0"/>
                <w:rFonts w:ascii="Calibri Light" w:hAnsi="Calibri Light" w:cs="Calibri Light"/>
                <w:color w:val="211D1E"/>
                <w:sz w:val="21"/>
                <w:szCs w:val="21"/>
              </w:rPr>
              <w:t>Dr. Gordon Klein, a senior scientist and adjunct professor of Orthopedic Surgery and Rehabilitation at UTMB, has been elected to the 2018 class of fellows of the American Society for Bone and Mineral Research (ASBMR). During his 40-year career, Dr. Klein identified and studied aluminum toxicity to bone and the musculoskeletal effects of burn injuries, primarily at the Shriners Hospital for Children-Galveston. ASBMR is the leading professional, scientific and medical society established to bring together clinical and experimental scientists involved in the study of bone and mineral metabolism. For more information, visit</w:t>
            </w:r>
            <w:r w:rsidRPr="008C6DB8">
              <w:rPr>
                <w:rStyle w:val="apple-converted-space"/>
                <w:rFonts w:ascii="Calibri Light" w:hAnsi="Calibri Light" w:cs="Calibri Light"/>
                <w:color w:val="211D1E"/>
                <w:sz w:val="21"/>
                <w:szCs w:val="21"/>
              </w:rPr>
              <w:t> </w:t>
            </w:r>
            <w:hyperlink r:id="rId21" w:history="1">
              <w:r w:rsidRPr="008C6DB8">
                <w:rPr>
                  <w:rStyle w:val="Hyperlink"/>
                  <w:rFonts w:ascii="Calibri Light" w:hAnsi="Calibri Light" w:cs="Calibri Light"/>
                  <w:color w:val="954F72"/>
                  <w:sz w:val="21"/>
                  <w:szCs w:val="21"/>
                </w:rPr>
                <w:t>www.asbmr.org</w:t>
              </w:r>
            </w:hyperlink>
            <w:r w:rsidRPr="008C6DB8">
              <w:rPr>
                <w:rStyle w:val="a0"/>
                <w:rFonts w:ascii="Calibri Light" w:hAnsi="Calibri Light" w:cs="Calibri Light"/>
                <w:color w:val="211D1E"/>
                <w:sz w:val="21"/>
                <w:szCs w:val="21"/>
              </w:rPr>
              <w:t>.</w:t>
            </w:r>
          </w:p>
          <w:p w14:paraId="3DE11AB1" w14:textId="4AE57CA2" w:rsidR="00F10677" w:rsidRDefault="00F10677" w:rsidP="00AD21D6">
            <w:pPr>
              <w:rPr>
                <w:rFonts w:ascii="Calibri Light" w:hAnsi="Calibri Light" w:cs="Calibri Light"/>
                <w:color w:val="000000"/>
                <w:sz w:val="21"/>
                <w:szCs w:val="21"/>
              </w:rPr>
            </w:pPr>
          </w:p>
          <w:p w14:paraId="7DA09476" w14:textId="675E9995" w:rsidR="00F10677" w:rsidRDefault="00F10677" w:rsidP="00F10677">
            <w:pPr>
              <w:spacing w:before="120"/>
              <w:rPr>
                <w:rFonts w:asciiTheme="majorHAnsi" w:hAnsiTheme="majorHAnsi"/>
                <w:b/>
              </w:rPr>
            </w:pPr>
            <w:r>
              <w:rPr>
                <w:rFonts w:asciiTheme="majorHAnsi" w:hAnsiTheme="majorHAnsi"/>
                <w:noProof/>
                <w:sz w:val="20"/>
              </w:rPr>
              <w:drawing>
                <wp:anchor distT="0" distB="0" distL="114300" distR="114300" simplePos="0" relativeHeight="251763200" behindDoc="0" locked="0" layoutInCell="1" allowOverlap="1" wp14:anchorId="349A4402" wp14:editId="1D2FCC55">
                  <wp:simplePos x="0" y="0"/>
                  <wp:positionH relativeFrom="column">
                    <wp:posOffset>0</wp:posOffset>
                  </wp:positionH>
                  <wp:positionV relativeFrom="paragraph">
                    <wp:posOffset>3810</wp:posOffset>
                  </wp:positionV>
                  <wp:extent cx="257175" cy="25146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w:t>
            </w:r>
            <w:r w:rsidR="008C6DB8">
              <w:rPr>
                <w:rFonts w:asciiTheme="majorHAnsi" w:hAnsiTheme="majorHAnsi"/>
                <w:b/>
              </w:rPr>
              <w:t>Annual compliance training</w:t>
            </w:r>
          </w:p>
          <w:p w14:paraId="4E66540B" w14:textId="77777777" w:rsidR="008C6DB8" w:rsidRDefault="008C6DB8" w:rsidP="008C6DB8">
            <w:pPr>
              <w:pStyle w:val="default"/>
              <w:spacing w:before="0" w:beforeAutospacing="0" w:after="0" w:afterAutospacing="0"/>
              <w:rPr>
                <w:rFonts w:ascii="Calibri Light" w:hAnsi="Calibri Light" w:cs="Calibri Light"/>
                <w:color w:val="000000"/>
                <w:sz w:val="21"/>
                <w:szCs w:val="21"/>
              </w:rPr>
            </w:pPr>
            <w:r w:rsidRPr="008C6DB8">
              <w:rPr>
                <w:rFonts w:ascii="Calibri Light" w:hAnsi="Calibri Light" w:cs="Calibri Light"/>
                <w:color w:val="000000"/>
                <w:sz w:val="21"/>
                <w:szCs w:val="21"/>
              </w:rPr>
              <w:t>The CMC deadline for all employees to complete their annual compliance training for FY19 is</w:t>
            </w:r>
            <w:r w:rsidRPr="008C6DB8">
              <w:rPr>
                <w:rStyle w:val="apple-converted-space"/>
                <w:rFonts w:ascii="Calibri Light" w:hAnsi="Calibri Light" w:cs="Calibri Light"/>
                <w:color w:val="000000"/>
                <w:sz w:val="21"/>
                <w:szCs w:val="21"/>
              </w:rPr>
              <w:t> </w:t>
            </w:r>
            <w:r w:rsidRPr="00037B92">
              <w:rPr>
                <w:rFonts w:ascii="Calibri Light" w:hAnsi="Calibri Light" w:cs="Calibri Light"/>
                <w:b/>
                <w:bCs/>
                <w:color w:val="000000"/>
                <w:sz w:val="21"/>
                <w:szCs w:val="21"/>
              </w:rPr>
              <w:t>March 31, 2019</w:t>
            </w:r>
            <w:r w:rsidRPr="008C6DB8">
              <w:rPr>
                <w:rFonts w:ascii="Calibri Light" w:hAnsi="Calibri Light" w:cs="Calibri Light"/>
                <w:color w:val="000000"/>
                <w:sz w:val="21"/>
                <w:szCs w:val="21"/>
              </w:rPr>
              <w:t>. To complete training, log in to the UTMB Learn system at</w:t>
            </w:r>
            <w:r w:rsidRPr="008C6DB8">
              <w:rPr>
                <w:rStyle w:val="apple-converted-space"/>
                <w:rFonts w:ascii="Calibri Light" w:hAnsi="Calibri Light" w:cs="Calibri Light"/>
                <w:color w:val="000000"/>
                <w:sz w:val="21"/>
                <w:szCs w:val="21"/>
              </w:rPr>
              <w:t> </w:t>
            </w:r>
            <w:hyperlink r:id="rId22" w:history="1">
              <w:r w:rsidRPr="008C6DB8">
                <w:rPr>
                  <w:rStyle w:val="Hyperlink"/>
                  <w:rFonts w:ascii="Calibri Light" w:hAnsi="Calibri Light" w:cs="Calibri Light"/>
                  <w:color w:val="954F72"/>
                  <w:sz w:val="21"/>
                  <w:szCs w:val="21"/>
                </w:rPr>
                <w:t>https://learn.utmb.edu</w:t>
              </w:r>
            </w:hyperlink>
            <w:r w:rsidRPr="008C6DB8">
              <w:rPr>
                <w:rFonts w:ascii="Calibri Light" w:hAnsi="Calibri Light" w:cs="Calibri Light"/>
                <w:color w:val="000000"/>
                <w:sz w:val="21"/>
                <w:szCs w:val="21"/>
              </w:rPr>
              <w:t>. For questions or concerns about your assigned compliance training, please contact your manager. A new course called 340B Training CMC has been added to the required CMC Training Review.</w:t>
            </w:r>
          </w:p>
          <w:p w14:paraId="19DDC1D1" w14:textId="77777777" w:rsidR="008C6DB8" w:rsidRDefault="008C6DB8" w:rsidP="008C6DB8">
            <w:pPr>
              <w:pStyle w:val="default"/>
              <w:numPr>
                <w:ilvl w:val="0"/>
                <w:numId w:val="11"/>
              </w:numPr>
              <w:spacing w:before="0" w:beforeAutospacing="0" w:after="0" w:afterAutospacing="0"/>
              <w:rPr>
                <w:rFonts w:ascii="Calibri Light" w:hAnsi="Calibri Light" w:cs="Calibri Light"/>
                <w:color w:val="000000"/>
                <w:sz w:val="21"/>
                <w:szCs w:val="21"/>
              </w:rPr>
            </w:pPr>
            <w:r w:rsidRPr="008C6DB8">
              <w:rPr>
                <w:rFonts w:ascii="Calibri Light" w:hAnsi="Calibri Light" w:cs="Calibri Light"/>
                <w:color w:val="000000"/>
                <w:sz w:val="21"/>
                <w:szCs w:val="21"/>
              </w:rPr>
              <w:t>340B Drug Pricing Program is a federal drug discount program that provides significant discounts</w:t>
            </w:r>
            <w:r>
              <w:rPr>
                <w:rFonts w:ascii="Calibri Light" w:hAnsi="Calibri Light" w:cs="Calibri Light"/>
                <w:color w:val="000000"/>
                <w:sz w:val="21"/>
                <w:szCs w:val="21"/>
              </w:rPr>
              <w:t>.</w:t>
            </w:r>
          </w:p>
          <w:p w14:paraId="6ADA4537" w14:textId="01950CFC" w:rsidR="008C6DB8" w:rsidRDefault="008C6DB8" w:rsidP="008C6DB8">
            <w:pPr>
              <w:pStyle w:val="default"/>
              <w:numPr>
                <w:ilvl w:val="0"/>
                <w:numId w:val="11"/>
              </w:numPr>
              <w:spacing w:before="0" w:beforeAutospacing="0" w:after="0" w:afterAutospacing="0"/>
              <w:rPr>
                <w:rFonts w:ascii="Calibri Light" w:hAnsi="Calibri Light" w:cs="Calibri Light"/>
                <w:color w:val="000000"/>
                <w:sz w:val="21"/>
                <w:szCs w:val="21"/>
              </w:rPr>
            </w:pPr>
            <w:r w:rsidRPr="008C6DB8">
              <w:rPr>
                <w:rFonts w:ascii="Calibri Light" w:hAnsi="Calibri Light" w:cs="Calibri Light"/>
                <w:color w:val="000000"/>
                <w:sz w:val="21"/>
                <w:szCs w:val="21"/>
              </w:rPr>
              <w:t xml:space="preserve">Participation in the 340B program has resulted in significant savings for the CMC Program </w:t>
            </w:r>
            <w:r w:rsidR="00DB5591">
              <w:rPr>
                <w:rFonts w:ascii="Calibri Light" w:hAnsi="Calibri Light" w:cs="Calibri Light"/>
                <w:color w:val="000000"/>
                <w:sz w:val="21"/>
                <w:szCs w:val="21"/>
              </w:rPr>
              <w:t xml:space="preserve">of </w:t>
            </w:r>
            <w:r w:rsidRPr="008C6DB8">
              <w:rPr>
                <w:rFonts w:ascii="Calibri Light" w:hAnsi="Calibri Light" w:cs="Calibri Light"/>
                <w:color w:val="000000"/>
                <w:sz w:val="21"/>
                <w:szCs w:val="21"/>
              </w:rPr>
              <w:t>approximately $95 million per year.</w:t>
            </w:r>
          </w:p>
          <w:p w14:paraId="3EEC7646" w14:textId="77777777" w:rsidR="008C6DB8" w:rsidRDefault="008C6DB8" w:rsidP="008C6DB8">
            <w:pPr>
              <w:pStyle w:val="default"/>
              <w:numPr>
                <w:ilvl w:val="0"/>
                <w:numId w:val="11"/>
              </w:numPr>
              <w:spacing w:before="0" w:beforeAutospacing="0" w:after="0" w:afterAutospacing="0"/>
              <w:rPr>
                <w:rFonts w:ascii="Calibri Light" w:hAnsi="Calibri Light" w:cs="Calibri Light"/>
                <w:color w:val="000000"/>
                <w:sz w:val="21"/>
                <w:szCs w:val="21"/>
              </w:rPr>
            </w:pPr>
            <w:r w:rsidRPr="008C6DB8">
              <w:rPr>
                <w:rFonts w:ascii="Calibri Light" w:hAnsi="Calibri Light" w:cs="Calibri Light"/>
                <w:color w:val="000000"/>
                <w:sz w:val="21"/>
                <w:szCs w:val="21"/>
              </w:rPr>
              <w:t>To participate, UTMB must comply with strict program requirements to ensure compliance and provide ongoing education to staff.</w:t>
            </w:r>
          </w:p>
          <w:p w14:paraId="61224B38" w14:textId="7BAC9408" w:rsidR="008C6DB8" w:rsidRDefault="008C6DB8" w:rsidP="008C6DB8">
            <w:pPr>
              <w:pStyle w:val="default"/>
              <w:numPr>
                <w:ilvl w:val="0"/>
                <w:numId w:val="11"/>
              </w:numPr>
              <w:spacing w:before="0" w:beforeAutospacing="0" w:after="0" w:afterAutospacing="0"/>
              <w:rPr>
                <w:rFonts w:ascii="Calibri Light" w:hAnsi="Calibri Light" w:cs="Calibri Light"/>
                <w:color w:val="000000"/>
                <w:sz w:val="21"/>
                <w:szCs w:val="21"/>
              </w:rPr>
            </w:pPr>
            <w:r w:rsidRPr="008C6DB8">
              <w:rPr>
                <w:rFonts w:ascii="Calibri Light" w:hAnsi="Calibri Light" w:cs="Calibri Light"/>
                <w:color w:val="000000"/>
                <w:sz w:val="21"/>
                <w:szCs w:val="21"/>
              </w:rPr>
              <w:t>Covered entities can face sanctions for non-compliance including (1) being removed from the 340B program and/or (2) repayment to manufacturers for the time period for which the violation occurred.</w:t>
            </w:r>
          </w:p>
          <w:p w14:paraId="77CB6CA6" w14:textId="77777777" w:rsidR="008C6DB8" w:rsidRDefault="008C6DB8" w:rsidP="008C6DB8">
            <w:pPr>
              <w:pStyle w:val="default"/>
              <w:numPr>
                <w:ilvl w:val="0"/>
                <w:numId w:val="11"/>
              </w:numPr>
              <w:spacing w:before="0" w:beforeAutospacing="0" w:after="0" w:afterAutospacing="0"/>
              <w:rPr>
                <w:rFonts w:ascii="Calibri Light" w:hAnsi="Calibri Light" w:cs="Calibri Light"/>
                <w:color w:val="000000"/>
                <w:sz w:val="21"/>
                <w:szCs w:val="21"/>
              </w:rPr>
            </w:pPr>
            <w:r w:rsidRPr="008C6DB8">
              <w:rPr>
                <w:rFonts w:ascii="Calibri Light" w:hAnsi="Calibri Light" w:cs="Calibri Light"/>
                <w:color w:val="000000"/>
                <w:sz w:val="21"/>
                <w:szCs w:val="21"/>
              </w:rPr>
              <w:t>The findings from 340B audits may be used to refer matters to the Office of Inspector General (OIG) or Department of Justice (DOJ).</w:t>
            </w:r>
          </w:p>
          <w:p w14:paraId="4D17B574" w14:textId="77777777" w:rsidR="008C6DB8" w:rsidRDefault="008C6DB8" w:rsidP="008C6DB8">
            <w:pPr>
              <w:pStyle w:val="default"/>
              <w:numPr>
                <w:ilvl w:val="0"/>
                <w:numId w:val="11"/>
              </w:numPr>
              <w:spacing w:before="0" w:beforeAutospacing="0" w:after="0" w:afterAutospacing="0"/>
              <w:rPr>
                <w:rFonts w:ascii="Calibri Light" w:hAnsi="Calibri Light" w:cs="Calibri Light"/>
                <w:color w:val="000000"/>
                <w:sz w:val="21"/>
                <w:szCs w:val="21"/>
              </w:rPr>
            </w:pPr>
            <w:r w:rsidRPr="008C6DB8">
              <w:rPr>
                <w:rFonts w:ascii="Calibri Light" w:hAnsi="Calibri Light" w:cs="Calibri Light"/>
                <w:color w:val="000000"/>
                <w:sz w:val="21"/>
                <w:szCs w:val="21"/>
              </w:rPr>
              <w:t>Removal from the program would cost UTMB a significant amount in cost savings and revenue and could jeopardize some services we provide.</w:t>
            </w:r>
          </w:p>
          <w:p w14:paraId="397AB352" w14:textId="73C16A6A" w:rsidR="00DB5591" w:rsidRPr="008C6DB8" w:rsidRDefault="00DB5591" w:rsidP="00DB5591">
            <w:pPr>
              <w:pStyle w:val="default"/>
              <w:spacing w:before="0" w:beforeAutospacing="0" w:after="0" w:afterAutospacing="0"/>
              <w:rPr>
                <w:rFonts w:ascii="Calibri Light" w:hAnsi="Calibri Light" w:cs="Calibri Light"/>
                <w:color w:val="000000"/>
                <w:sz w:val="21"/>
                <w:szCs w:val="21"/>
              </w:rPr>
            </w:pPr>
            <w:r>
              <w:rPr>
                <w:rFonts w:ascii="Calibri Light" w:hAnsi="Calibri Light" w:cs="Calibri Light"/>
                <w:color w:val="000000"/>
                <w:sz w:val="21"/>
                <w:szCs w:val="21"/>
              </w:rPr>
              <w:t xml:space="preserve">Thank </w:t>
            </w:r>
            <w:r w:rsidR="00037B92">
              <w:rPr>
                <w:rFonts w:ascii="Calibri Light" w:hAnsi="Calibri Light" w:cs="Calibri Light"/>
                <w:color w:val="000000"/>
                <w:sz w:val="21"/>
                <w:szCs w:val="21"/>
              </w:rPr>
              <w:t>you for your participation in completing this new course in addition to your other compliance training.</w:t>
            </w:r>
          </w:p>
        </w:tc>
        <w:tc>
          <w:tcPr>
            <w:tcW w:w="5963" w:type="dxa"/>
            <w:gridSpan w:val="2"/>
            <w:tcBorders>
              <w:left w:val="single" w:sz="4" w:space="0" w:color="auto"/>
              <w:right w:val="single" w:sz="8" w:space="0" w:color="auto"/>
            </w:tcBorders>
            <w:shd w:val="clear" w:color="auto" w:fill="FFFFFF" w:themeFill="background1"/>
          </w:tcPr>
          <w:p w14:paraId="23605E38" w14:textId="77777777" w:rsidR="00A608B5" w:rsidRDefault="00A608B5" w:rsidP="008C6DB8">
            <w:pPr>
              <w:rPr>
                <w:rFonts w:ascii="Calibri Light" w:hAnsi="Calibri Light" w:cs="Calibri Light"/>
                <w:color w:val="000000"/>
                <w:sz w:val="21"/>
                <w:szCs w:val="21"/>
              </w:rPr>
            </w:pPr>
          </w:p>
          <w:p w14:paraId="430B5665" w14:textId="33F915B7" w:rsidR="008C6DB8" w:rsidRDefault="008C6DB8" w:rsidP="008C6DB8">
            <w:pPr>
              <w:spacing w:before="120"/>
              <w:rPr>
                <w:rFonts w:asciiTheme="majorHAnsi" w:hAnsiTheme="majorHAnsi"/>
                <w:b/>
              </w:rPr>
            </w:pPr>
            <w:r>
              <w:rPr>
                <w:rFonts w:asciiTheme="majorHAnsi" w:hAnsiTheme="majorHAnsi"/>
                <w:noProof/>
                <w:sz w:val="20"/>
              </w:rPr>
              <w:drawing>
                <wp:anchor distT="0" distB="0" distL="114300" distR="114300" simplePos="0" relativeHeight="251765248" behindDoc="0" locked="0" layoutInCell="1" allowOverlap="1" wp14:anchorId="33B5362D" wp14:editId="49EC21CE">
                  <wp:simplePos x="0" y="0"/>
                  <wp:positionH relativeFrom="column">
                    <wp:posOffset>0</wp:posOffset>
                  </wp:positionH>
                  <wp:positionV relativeFrom="paragraph">
                    <wp:posOffset>3810</wp:posOffset>
                  </wp:positionV>
                  <wp:extent cx="257175" cy="2514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CMC—Protect yourself and others with a seasonal flu shot:</w:t>
            </w:r>
          </w:p>
          <w:p w14:paraId="18380013" w14:textId="6064CD36" w:rsidR="008C6DB8" w:rsidRPr="008C6DB8" w:rsidRDefault="008C6DB8" w:rsidP="008C6DB8">
            <w:pPr>
              <w:rPr>
                <w:rFonts w:ascii="Calibri Light" w:hAnsi="Calibri Light" w:cs="Calibri Light"/>
                <w:sz w:val="21"/>
                <w:szCs w:val="21"/>
              </w:rPr>
            </w:pPr>
            <w:r w:rsidRPr="008C6DB8">
              <w:rPr>
                <w:rFonts w:ascii="Calibri Light" w:hAnsi="Calibri Light" w:cs="Calibri Light"/>
                <w:color w:val="000000"/>
                <w:sz w:val="21"/>
                <w:szCs w:val="21"/>
              </w:rPr>
              <w:t xml:space="preserve">UTMB offers its employees free flu shots each year to help prevent the spread of influenza. To prepare for the 2018–2019 flu season, vaccinations will be available at your facility and </w:t>
            </w:r>
            <w:r w:rsidRPr="00CA35C2">
              <w:rPr>
                <w:rFonts w:ascii="Calibri Light" w:hAnsi="Calibri Light" w:cs="Calibri Light"/>
                <w:b/>
                <w:color w:val="000000"/>
                <w:sz w:val="21"/>
                <w:szCs w:val="21"/>
              </w:rPr>
              <w:t>all</w:t>
            </w:r>
            <w:r w:rsidRPr="00CA35C2">
              <w:rPr>
                <w:rStyle w:val="apple-converted-space"/>
                <w:rFonts w:ascii="Calibri Light" w:hAnsi="Calibri Light" w:cs="Calibri Light"/>
                <w:b/>
                <w:color w:val="000000"/>
                <w:sz w:val="21"/>
                <w:szCs w:val="21"/>
              </w:rPr>
              <w:t> </w:t>
            </w:r>
            <w:r w:rsidRPr="00CA35C2">
              <w:rPr>
                <w:rFonts w:ascii="Calibri Light" w:hAnsi="Calibri Light" w:cs="Calibri Light"/>
                <w:b/>
                <w:bCs/>
                <w:color w:val="000000"/>
                <w:sz w:val="21"/>
                <w:szCs w:val="21"/>
              </w:rPr>
              <w:t>health care workers (HCWs)</w:t>
            </w:r>
            <w:r w:rsidRPr="008C6DB8">
              <w:rPr>
                <w:rStyle w:val="apple-converted-space"/>
                <w:rFonts w:ascii="Calibri Light" w:hAnsi="Calibri Light" w:cs="Calibri Light"/>
                <w:bCs/>
                <w:color w:val="000000"/>
                <w:sz w:val="21"/>
                <w:szCs w:val="21"/>
              </w:rPr>
              <w:t> </w:t>
            </w:r>
            <w:r w:rsidRPr="008C6DB8">
              <w:rPr>
                <w:rFonts w:ascii="Calibri Light" w:hAnsi="Calibri Light" w:cs="Calibri Light"/>
                <w:color w:val="000000"/>
                <w:sz w:val="21"/>
                <w:szCs w:val="21"/>
              </w:rPr>
              <w:t>must be vaccinated</w:t>
            </w:r>
            <w:r w:rsidRPr="008C6DB8">
              <w:rPr>
                <w:rStyle w:val="apple-converted-space"/>
                <w:rFonts w:ascii="Calibri Light" w:hAnsi="Calibri Light" w:cs="Calibri Light"/>
                <w:color w:val="000000"/>
                <w:sz w:val="21"/>
                <w:szCs w:val="21"/>
              </w:rPr>
              <w:t> </w:t>
            </w:r>
            <w:r w:rsidRPr="00CA35C2">
              <w:rPr>
                <w:rFonts w:ascii="Calibri Light" w:hAnsi="Calibri Light" w:cs="Calibri Light"/>
                <w:b/>
                <w:bCs/>
                <w:color w:val="000000"/>
                <w:sz w:val="21"/>
                <w:szCs w:val="21"/>
              </w:rPr>
              <w:t>by no later than Nov. 15</w:t>
            </w:r>
            <w:r w:rsidRPr="008C6DB8">
              <w:rPr>
                <w:rFonts w:ascii="Calibri Light" w:hAnsi="Calibri Light" w:cs="Calibri Light"/>
                <w:color w:val="000000"/>
                <w:sz w:val="21"/>
                <w:szCs w:val="21"/>
              </w:rPr>
              <w:t>. As a condition of continued employment, all HCWs must get an annual flu shot or formally decline the vaccination by signing the Seasonal Influenza Vaccine Declination Statement. This requirement applies to anyone who provides direct patient care, enters patient rooms, works in clinics and/or comes within six feet of patients in the course of his or her duties. Once vaccinated (by UTMB or outside UTMB), staff must wear the “Flu Free 2018-2019” badge until the end of the flu season. The UTMB Office of Epidemiology determines when flu season begins and ends each year. Staff will be notified when the flu season begins and flu precautions must be followed. Those who did not receive the flu vaccine must wear masks for the duration of the flu season. If an employee receives a flu shot at a facility outside of UTMB, the employee must provide his/her supervisor or departmental flu champion with proof of vaccination. All other employees are strongly encouraged to get vaccinated, unless prohibited for medical reasons.</w:t>
            </w:r>
          </w:p>
        </w:tc>
      </w:tr>
      <w:tr w:rsidR="00824F3C" w14:paraId="09FE0D10" w14:textId="77777777" w:rsidTr="00A60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1"/>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4B27A4A9" w14:textId="543BDD35" w:rsidR="000104E7" w:rsidRPr="000104E7" w:rsidRDefault="000104E7" w:rsidP="000104E7">
            <w:pPr>
              <w:rPr>
                <w:rFonts w:ascii="Calibri Light" w:hAnsi="Calibri Light" w:cs="Calibri Light"/>
                <w:color w:val="000000"/>
                <w:sz w:val="21"/>
                <w:szCs w:val="21"/>
              </w:rPr>
            </w:pPr>
            <w:r w:rsidRPr="000104E7">
              <w:rPr>
                <w:rFonts w:ascii="Calibri Light" w:hAnsi="Calibri Light" w:cs="Calibri Light"/>
                <w:color w:val="000000"/>
                <w:sz w:val="21"/>
                <w:szCs w:val="21"/>
              </w:rPr>
              <w:t>Total student enrollment for all four of UTMB’s schools for the fall 2018 semester—which began on Aug. 20—is</w:t>
            </w:r>
            <w:r w:rsidRPr="000104E7">
              <w:rPr>
                <w:rStyle w:val="apple-converted-space"/>
                <w:rFonts w:ascii="Calibri Light" w:hAnsi="Calibri Light" w:cs="Calibri Light"/>
                <w:color w:val="000000"/>
                <w:sz w:val="21"/>
                <w:szCs w:val="21"/>
              </w:rPr>
              <w:t> </w:t>
            </w:r>
            <w:r w:rsidRPr="000104E7">
              <w:rPr>
                <w:rFonts w:ascii="Calibri Light" w:hAnsi="Calibri Light" w:cs="Calibri Light"/>
                <w:bCs/>
                <w:color w:val="000000"/>
                <w:sz w:val="21"/>
                <w:szCs w:val="21"/>
              </w:rPr>
              <w:t>3,307</w:t>
            </w:r>
            <w:r w:rsidRPr="000104E7">
              <w:rPr>
                <w:rFonts w:ascii="Calibri Light" w:hAnsi="Calibri Light" w:cs="Calibri Light"/>
                <w:color w:val="000000"/>
                <w:sz w:val="21"/>
                <w:szCs w:val="21"/>
              </w:rPr>
              <w:t>. That’s up slightly from the 3,211 students who were enrolled five years ago at the start of the fall 2014 semester.</w:t>
            </w:r>
            <w:r>
              <w:rPr>
                <w:rFonts w:ascii="Calibri Light" w:hAnsi="Calibri Light" w:cs="Calibri Light"/>
                <w:color w:val="000000"/>
                <w:sz w:val="21"/>
                <w:szCs w:val="21"/>
              </w:rPr>
              <w:t xml:space="preserve"> </w:t>
            </w:r>
            <w:r w:rsidRPr="000104E7">
              <w:rPr>
                <w:rFonts w:ascii="Calibri Light" w:hAnsi="Calibri Light" w:cs="Calibri Light"/>
                <w:color w:val="000000"/>
                <w:sz w:val="21"/>
                <w:szCs w:val="21"/>
              </w:rPr>
              <w:t>Student enrollment in the four schools for fall 2018 includes:</w:t>
            </w:r>
          </w:p>
          <w:p w14:paraId="4AE4B1CC" w14:textId="77777777" w:rsidR="000104E7" w:rsidRPr="000104E7" w:rsidRDefault="000104E7" w:rsidP="000104E7">
            <w:pPr>
              <w:pStyle w:val="ListParagraph"/>
              <w:numPr>
                <w:ilvl w:val="0"/>
                <w:numId w:val="7"/>
              </w:numPr>
              <w:spacing w:before="100" w:beforeAutospacing="1" w:after="100" w:afterAutospacing="1"/>
              <w:contextualSpacing w:val="0"/>
              <w:rPr>
                <w:rFonts w:ascii="Calibri Light" w:hAnsi="Calibri Light" w:cs="Calibri Light"/>
                <w:color w:val="000000"/>
                <w:sz w:val="21"/>
                <w:szCs w:val="21"/>
              </w:rPr>
            </w:pPr>
            <w:r w:rsidRPr="000104E7">
              <w:rPr>
                <w:rFonts w:ascii="Calibri Light" w:hAnsi="Calibri Light" w:cs="Calibri Light"/>
                <w:b/>
                <w:bCs/>
                <w:color w:val="000000"/>
                <w:sz w:val="21"/>
                <w:szCs w:val="21"/>
              </w:rPr>
              <w:t>Graduate School of Biomedical Sciences:</w:t>
            </w:r>
            <w:r w:rsidRPr="000104E7">
              <w:rPr>
                <w:rStyle w:val="apple-converted-space"/>
                <w:rFonts w:ascii="Calibri Light" w:hAnsi="Calibri Light" w:cs="Calibri Light"/>
                <w:color w:val="000000"/>
                <w:sz w:val="21"/>
                <w:szCs w:val="21"/>
              </w:rPr>
              <w:t> </w:t>
            </w:r>
            <w:r w:rsidRPr="000104E7">
              <w:rPr>
                <w:rFonts w:ascii="Calibri Light" w:hAnsi="Calibri Light" w:cs="Calibri Light"/>
                <w:color w:val="000000"/>
                <w:sz w:val="21"/>
                <w:szCs w:val="21"/>
              </w:rPr>
              <w:t>359</w:t>
            </w:r>
          </w:p>
          <w:p w14:paraId="4285C71C" w14:textId="77777777" w:rsidR="000104E7" w:rsidRPr="000104E7" w:rsidRDefault="000104E7" w:rsidP="000104E7">
            <w:pPr>
              <w:pStyle w:val="ListParagraph"/>
              <w:numPr>
                <w:ilvl w:val="0"/>
                <w:numId w:val="7"/>
              </w:numPr>
              <w:spacing w:before="100" w:beforeAutospacing="1" w:after="100" w:afterAutospacing="1"/>
              <w:contextualSpacing w:val="0"/>
              <w:rPr>
                <w:rFonts w:ascii="Calibri Light" w:hAnsi="Calibri Light" w:cs="Calibri Light"/>
                <w:color w:val="000000"/>
                <w:sz w:val="21"/>
                <w:szCs w:val="21"/>
              </w:rPr>
            </w:pPr>
            <w:r w:rsidRPr="000104E7">
              <w:rPr>
                <w:rFonts w:ascii="Calibri Light" w:hAnsi="Calibri Light" w:cs="Calibri Light"/>
                <w:b/>
                <w:bCs/>
                <w:color w:val="000000"/>
                <w:sz w:val="21"/>
                <w:szCs w:val="21"/>
              </w:rPr>
              <w:t>School of Health Professions:</w:t>
            </w:r>
            <w:r w:rsidRPr="000104E7">
              <w:rPr>
                <w:rStyle w:val="apple-converted-space"/>
                <w:rFonts w:ascii="Calibri Light" w:hAnsi="Calibri Light" w:cs="Calibri Light"/>
                <w:color w:val="000000"/>
                <w:sz w:val="21"/>
                <w:szCs w:val="21"/>
              </w:rPr>
              <w:t> </w:t>
            </w:r>
            <w:r w:rsidRPr="000104E7">
              <w:rPr>
                <w:rFonts w:ascii="Calibri Light" w:hAnsi="Calibri Light" w:cs="Calibri Light"/>
                <w:color w:val="000000"/>
                <w:sz w:val="21"/>
                <w:szCs w:val="21"/>
              </w:rPr>
              <w:t>643</w:t>
            </w:r>
          </w:p>
          <w:p w14:paraId="21345B82" w14:textId="77777777" w:rsidR="000104E7" w:rsidRPr="000104E7" w:rsidRDefault="000104E7" w:rsidP="000104E7">
            <w:pPr>
              <w:pStyle w:val="ListParagraph"/>
              <w:numPr>
                <w:ilvl w:val="0"/>
                <w:numId w:val="7"/>
              </w:numPr>
              <w:spacing w:before="100" w:beforeAutospacing="1" w:after="100" w:afterAutospacing="1"/>
              <w:contextualSpacing w:val="0"/>
              <w:rPr>
                <w:rFonts w:ascii="Calibri Light" w:hAnsi="Calibri Light" w:cs="Calibri Light"/>
                <w:color w:val="000000"/>
                <w:sz w:val="21"/>
                <w:szCs w:val="21"/>
              </w:rPr>
            </w:pPr>
            <w:r w:rsidRPr="000104E7">
              <w:rPr>
                <w:rFonts w:ascii="Calibri Light" w:hAnsi="Calibri Light" w:cs="Calibri Light"/>
                <w:b/>
                <w:bCs/>
                <w:color w:val="000000"/>
                <w:sz w:val="21"/>
                <w:szCs w:val="21"/>
              </w:rPr>
              <w:t>School of Nursing:</w:t>
            </w:r>
            <w:r w:rsidRPr="000104E7">
              <w:rPr>
                <w:rStyle w:val="apple-converted-space"/>
                <w:rFonts w:ascii="Calibri Light" w:hAnsi="Calibri Light" w:cs="Calibri Light"/>
                <w:color w:val="000000"/>
                <w:sz w:val="21"/>
                <w:szCs w:val="21"/>
              </w:rPr>
              <w:t> </w:t>
            </w:r>
            <w:r w:rsidRPr="000104E7">
              <w:rPr>
                <w:rFonts w:ascii="Calibri Light" w:hAnsi="Calibri Light" w:cs="Calibri Light"/>
                <w:color w:val="000000"/>
                <w:sz w:val="21"/>
                <w:szCs w:val="21"/>
              </w:rPr>
              <w:t>1,261</w:t>
            </w:r>
          </w:p>
          <w:p w14:paraId="70A75800" w14:textId="77777777" w:rsidR="000104E7" w:rsidRPr="000104E7" w:rsidRDefault="000104E7" w:rsidP="000104E7">
            <w:pPr>
              <w:pStyle w:val="ListParagraph"/>
              <w:numPr>
                <w:ilvl w:val="0"/>
                <w:numId w:val="7"/>
              </w:numPr>
              <w:spacing w:before="100" w:beforeAutospacing="1" w:after="100" w:afterAutospacing="1"/>
              <w:contextualSpacing w:val="0"/>
              <w:rPr>
                <w:rFonts w:ascii="Calibri Light" w:hAnsi="Calibri Light" w:cs="Calibri Light"/>
                <w:color w:val="000000"/>
                <w:sz w:val="21"/>
                <w:szCs w:val="21"/>
              </w:rPr>
            </w:pPr>
            <w:r w:rsidRPr="000104E7">
              <w:rPr>
                <w:rFonts w:ascii="Calibri Light" w:hAnsi="Calibri Light" w:cs="Calibri Light"/>
                <w:b/>
                <w:bCs/>
                <w:color w:val="000000"/>
                <w:sz w:val="21"/>
                <w:szCs w:val="21"/>
              </w:rPr>
              <w:t>School of Medicine:</w:t>
            </w:r>
            <w:r w:rsidRPr="000104E7">
              <w:rPr>
                <w:rStyle w:val="apple-converted-space"/>
                <w:rFonts w:ascii="Calibri Light" w:hAnsi="Calibri Light" w:cs="Calibri Light"/>
                <w:color w:val="000000"/>
                <w:sz w:val="21"/>
                <w:szCs w:val="21"/>
              </w:rPr>
              <w:t> </w:t>
            </w:r>
            <w:r w:rsidRPr="000104E7">
              <w:rPr>
                <w:rFonts w:ascii="Calibri Light" w:hAnsi="Calibri Light" w:cs="Calibri Light"/>
                <w:color w:val="000000"/>
                <w:sz w:val="21"/>
                <w:szCs w:val="21"/>
              </w:rPr>
              <w:t>1,044</w:t>
            </w:r>
          </w:p>
          <w:p w14:paraId="29F3D34D" w14:textId="3C518F1E" w:rsidR="00F10677" w:rsidRPr="008C6DB8" w:rsidRDefault="000104E7" w:rsidP="008C6DB8">
            <w:pPr>
              <w:rPr>
                <w:rFonts w:ascii="Calibri Light" w:hAnsi="Calibri Light" w:cs="Calibri Light"/>
                <w:color w:val="000000"/>
                <w:sz w:val="21"/>
                <w:szCs w:val="21"/>
              </w:rPr>
            </w:pPr>
            <w:r w:rsidRPr="000104E7">
              <w:rPr>
                <w:rFonts w:ascii="Calibri Light" w:hAnsi="Calibri Light" w:cs="Calibri Light"/>
                <w:color w:val="000000"/>
                <w:sz w:val="21"/>
                <w:szCs w:val="21"/>
              </w:rPr>
              <w:t>Since 2009, total student enrollment at UTMB has increased by nearly 36 percent.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3"/>
      <w:footerReference w:type="first" r:id="rId2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E4391" w14:textId="77777777" w:rsidR="00AA10ED" w:rsidRDefault="00AA10ED" w:rsidP="00874B86">
      <w:r>
        <w:separator/>
      </w:r>
    </w:p>
  </w:endnote>
  <w:endnote w:type="continuationSeparator" w:id="0">
    <w:p w14:paraId="243057FB" w14:textId="77777777" w:rsidR="00AA10ED" w:rsidRDefault="00AA10E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20B0604020202020204"/>
    <w:charset w:val="00"/>
    <w:family w:val="roman"/>
    <w:pitch w:val="variable"/>
    <w:sig w:usb0="60000287" w:usb1="00000001"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39FC2" w14:textId="77777777" w:rsidR="00AA10ED" w:rsidRDefault="00AA10ED" w:rsidP="00874B86">
      <w:r>
        <w:separator/>
      </w:r>
    </w:p>
  </w:footnote>
  <w:footnote w:type="continuationSeparator" w:id="0">
    <w:p w14:paraId="6C8AFE9F" w14:textId="77777777" w:rsidR="00AA10ED" w:rsidRDefault="00AA10ED"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C46906" w:rsidRDefault="00AA10ED">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FEE"/>
    <w:multiLevelType w:val="multilevel"/>
    <w:tmpl w:val="305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60855"/>
    <w:multiLevelType w:val="multilevel"/>
    <w:tmpl w:val="98AC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044B5"/>
    <w:multiLevelType w:val="multilevel"/>
    <w:tmpl w:val="4742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E20A38"/>
    <w:multiLevelType w:val="multilevel"/>
    <w:tmpl w:val="67E2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A370C"/>
    <w:multiLevelType w:val="multilevel"/>
    <w:tmpl w:val="F1F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51C7E"/>
    <w:multiLevelType w:val="hybridMultilevel"/>
    <w:tmpl w:val="655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702260"/>
    <w:multiLevelType w:val="multilevel"/>
    <w:tmpl w:val="D9A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1369B2"/>
    <w:multiLevelType w:val="hybridMultilevel"/>
    <w:tmpl w:val="29D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8B7E1D"/>
    <w:multiLevelType w:val="hybridMultilevel"/>
    <w:tmpl w:val="DA00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927A9"/>
    <w:multiLevelType w:val="multilevel"/>
    <w:tmpl w:val="67BE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2"/>
  </w:num>
  <w:num w:numId="4">
    <w:abstractNumId w:val="10"/>
  </w:num>
  <w:num w:numId="5">
    <w:abstractNumId w:val="5"/>
  </w:num>
  <w:num w:numId="6">
    <w:abstractNumId w:val="0"/>
  </w:num>
  <w:num w:numId="7">
    <w:abstractNumId w:val="3"/>
  </w:num>
  <w:num w:numId="8">
    <w:abstractNumId w:val="1"/>
  </w:num>
  <w:num w:numId="9">
    <w:abstractNumId w:val="6"/>
  </w:num>
  <w:num w:numId="10">
    <w:abstractNumId w:val="9"/>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4E7"/>
    <w:rsid w:val="00010BD9"/>
    <w:rsid w:val="0002373A"/>
    <w:rsid w:val="000257FB"/>
    <w:rsid w:val="00026B3C"/>
    <w:rsid w:val="000317BD"/>
    <w:rsid w:val="00033AC2"/>
    <w:rsid w:val="00037B9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910D6"/>
    <w:rsid w:val="001A2490"/>
    <w:rsid w:val="001A64DA"/>
    <w:rsid w:val="001A6D43"/>
    <w:rsid w:val="001A7128"/>
    <w:rsid w:val="001A732C"/>
    <w:rsid w:val="001B5AE8"/>
    <w:rsid w:val="001B7C99"/>
    <w:rsid w:val="001C4A7F"/>
    <w:rsid w:val="001D239E"/>
    <w:rsid w:val="001E36E7"/>
    <w:rsid w:val="001E6192"/>
    <w:rsid w:val="001E7922"/>
    <w:rsid w:val="001F26BB"/>
    <w:rsid w:val="001F63BC"/>
    <w:rsid w:val="001F659F"/>
    <w:rsid w:val="002029B1"/>
    <w:rsid w:val="00202B35"/>
    <w:rsid w:val="00202D78"/>
    <w:rsid w:val="00206437"/>
    <w:rsid w:val="00206C2F"/>
    <w:rsid w:val="00207DE0"/>
    <w:rsid w:val="00210851"/>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1831"/>
    <w:rsid w:val="004442B2"/>
    <w:rsid w:val="00452691"/>
    <w:rsid w:val="00456E37"/>
    <w:rsid w:val="0046357C"/>
    <w:rsid w:val="00463F9C"/>
    <w:rsid w:val="00466810"/>
    <w:rsid w:val="0047101D"/>
    <w:rsid w:val="004774D4"/>
    <w:rsid w:val="0048017F"/>
    <w:rsid w:val="004858C4"/>
    <w:rsid w:val="00496356"/>
    <w:rsid w:val="00496F9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06BE1"/>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566D7"/>
    <w:rsid w:val="006609CA"/>
    <w:rsid w:val="00662FE8"/>
    <w:rsid w:val="006804EC"/>
    <w:rsid w:val="00680E61"/>
    <w:rsid w:val="00682DCE"/>
    <w:rsid w:val="00686973"/>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3C80"/>
    <w:rsid w:val="00787883"/>
    <w:rsid w:val="00790A71"/>
    <w:rsid w:val="0079222C"/>
    <w:rsid w:val="007923CE"/>
    <w:rsid w:val="007935FC"/>
    <w:rsid w:val="00793B02"/>
    <w:rsid w:val="007A00A3"/>
    <w:rsid w:val="007A132B"/>
    <w:rsid w:val="007A1EB2"/>
    <w:rsid w:val="007A6F4E"/>
    <w:rsid w:val="007B196E"/>
    <w:rsid w:val="007B7890"/>
    <w:rsid w:val="007D3EB3"/>
    <w:rsid w:val="007D73C2"/>
    <w:rsid w:val="007E5EBB"/>
    <w:rsid w:val="007E7DDE"/>
    <w:rsid w:val="007F5801"/>
    <w:rsid w:val="007F788A"/>
    <w:rsid w:val="008032C3"/>
    <w:rsid w:val="00803F67"/>
    <w:rsid w:val="00804F92"/>
    <w:rsid w:val="00816D2E"/>
    <w:rsid w:val="00817D05"/>
    <w:rsid w:val="0082346E"/>
    <w:rsid w:val="00824F3C"/>
    <w:rsid w:val="00825D37"/>
    <w:rsid w:val="00831B07"/>
    <w:rsid w:val="008325B7"/>
    <w:rsid w:val="008327D3"/>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C247C"/>
    <w:rsid w:val="008C6DB8"/>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E75D5"/>
    <w:rsid w:val="009F504E"/>
    <w:rsid w:val="009F6435"/>
    <w:rsid w:val="009F7C23"/>
    <w:rsid w:val="00A0029C"/>
    <w:rsid w:val="00A109FA"/>
    <w:rsid w:val="00A1295B"/>
    <w:rsid w:val="00A211B2"/>
    <w:rsid w:val="00A24C8F"/>
    <w:rsid w:val="00A301CE"/>
    <w:rsid w:val="00A33081"/>
    <w:rsid w:val="00A44121"/>
    <w:rsid w:val="00A454B2"/>
    <w:rsid w:val="00A608B5"/>
    <w:rsid w:val="00A6456D"/>
    <w:rsid w:val="00A73B89"/>
    <w:rsid w:val="00A7783B"/>
    <w:rsid w:val="00A83199"/>
    <w:rsid w:val="00A84CDE"/>
    <w:rsid w:val="00A86EA8"/>
    <w:rsid w:val="00A86FEA"/>
    <w:rsid w:val="00A92F52"/>
    <w:rsid w:val="00A94E3B"/>
    <w:rsid w:val="00A95999"/>
    <w:rsid w:val="00A972A5"/>
    <w:rsid w:val="00AA10ED"/>
    <w:rsid w:val="00AA3BCC"/>
    <w:rsid w:val="00AA3DAA"/>
    <w:rsid w:val="00AA6C7F"/>
    <w:rsid w:val="00AB5B90"/>
    <w:rsid w:val="00AB6E66"/>
    <w:rsid w:val="00AC6DF5"/>
    <w:rsid w:val="00AD0ECC"/>
    <w:rsid w:val="00AD21D6"/>
    <w:rsid w:val="00AE72FD"/>
    <w:rsid w:val="00AF2AA4"/>
    <w:rsid w:val="00AF5DE4"/>
    <w:rsid w:val="00AF61B3"/>
    <w:rsid w:val="00AF6874"/>
    <w:rsid w:val="00B03D08"/>
    <w:rsid w:val="00B13087"/>
    <w:rsid w:val="00B14985"/>
    <w:rsid w:val="00B17C97"/>
    <w:rsid w:val="00B20F58"/>
    <w:rsid w:val="00B21C31"/>
    <w:rsid w:val="00B25A59"/>
    <w:rsid w:val="00B26D15"/>
    <w:rsid w:val="00B32644"/>
    <w:rsid w:val="00B4271F"/>
    <w:rsid w:val="00B42916"/>
    <w:rsid w:val="00B45886"/>
    <w:rsid w:val="00B45EDC"/>
    <w:rsid w:val="00B4699F"/>
    <w:rsid w:val="00B46CD5"/>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B0D88"/>
    <w:rsid w:val="00BB1E2A"/>
    <w:rsid w:val="00BC607D"/>
    <w:rsid w:val="00BD1CFF"/>
    <w:rsid w:val="00BD46AE"/>
    <w:rsid w:val="00BD6F11"/>
    <w:rsid w:val="00BD7F52"/>
    <w:rsid w:val="00BE01D0"/>
    <w:rsid w:val="00BE1CC6"/>
    <w:rsid w:val="00BE3394"/>
    <w:rsid w:val="00BF4E49"/>
    <w:rsid w:val="00C00795"/>
    <w:rsid w:val="00C07E58"/>
    <w:rsid w:val="00C108DA"/>
    <w:rsid w:val="00C1171D"/>
    <w:rsid w:val="00C11D6F"/>
    <w:rsid w:val="00C1383C"/>
    <w:rsid w:val="00C15677"/>
    <w:rsid w:val="00C175F9"/>
    <w:rsid w:val="00C270F3"/>
    <w:rsid w:val="00C30B6C"/>
    <w:rsid w:val="00C37FAF"/>
    <w:rsid w:val="00C400DB"/>
    <w:rsid w:val="00C41931"/>
    <w:rsid w:val="00C46906"/>
    <w:rsid w:val="00C50B15"/>
    <w:rsid w:val="00C53DFD"/>
    <w:rsid w:val="00C545D1"/>
    <w:rsid w:val="00C60C5A"/>
    <w:rsid w:val="00C61C42"/>
    <w:rsid w:val="00C70AA9"/>
    <w:rsid w:val="00C7271C"/>
    <w:rsid w:val="00C74D16"/>
    <w:rsid w:val="00C80144"/>
    <w:rsid w:val="00C805D3"/>
    <w:rsid w:val="00C8425F"/>
    <w:rsid w:val="00C84969"/>
    <w:rsid w:val="00C9451D"/>
    <w:rsid w:val="00C946A6"/>
    <w:rsid w:val="00CA08F1"/>
    <w:rsid w:val="00CA35C2"/>
    <w:rsid w:val="00CA6C92"/>
    <w:rsid w:val="00CA7B36"/>
    <w:rsid w:val="00CB2EB1"/>
    <w:rsid w:val="00CB3E9C"/>
    <w:rsid w:val="00CB52BA"/>
    <w:rsid w:val="00CB7A7D"/>
    <w:rsid w:val="00CC3714"/>
    <w:rsid w:val="00CC3E40"/>
    <w:rsid w:val="00CC6672"/>
    <w:rsid w:val="00CD1B15"/>
    <w:rsid w:val="00CD37C6"/>
    <w:rsid w:val="00CD7D72"/>
    <w:rsid w:val="00CE4BF1"/>
    <w:rsid w:val="00CE6D36"/>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56EA"/>
    <w:rsid w:val="00D56CE7"/>
    <w:rsid w:val="00D57FE0"/>
    <w:rsid w:val="00D65042"/>
    <w:rsid w:val="00D85DA7"/>
    <w:rsid w:val="00D903E8"/>
    <w:rsid w:val="00D915F2"/>
    <w:rsid w:val="00D97BA9"/>
    <w:rsid w:val="00DA1E0A"/>
    <w:rsid w:val="00DA23AB"/>
    <w:rsid w:val="00DA307E"/>
    <w:rsid w:val="00DA638A"/>
    <w:rsid w:val="00DA76D0"/>
    <w:rsid w:val="00DA7742"/>
    <w:rsid w:val="00DB35C8"/>
    <w:rsid w:val="00DB5591"/>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05B63"/>
    <w:rsid w:val="00E11899"/>
    <w:rsid w:val="00E17888"/>
    <w:rsid w:val="00E2372A"/>
    <w:rsid w:val="00E30C47"/>
    <w:rsid w:val="00E35816"/>
    <w:rsid w:val="00E43487"/>
    <w:rsid w:val="00E44B9E"/>
    <w:rsid w:val="00E44F71"/>
    <w:rsid w:val="00E625F4"/>
    <w:rsid w:val="00E76215"/>
    <w:rsid w:val="00E840C8"/>
    <w:rsid w:val="00E87236"/>
    <w:rsid w:val="00E87D19"/>
    <w:rsid w:val="00E93217"/>
    <w:rsid w:val="00EA0165"/>
    <w:rsid w:val="00EB7A92"/>
    <w:rsid w:val="00EB7D23"/>
    <w:rsid w:val="00EC490B"/>
    <w:rsid w:val="00ED2091"/>
    <w:rsid w:val="00ED5A3B"/>
    <w:rsid w:val="00ED5C1C"/>
    <w:rsid w:val="00ED6E29"/>
    <w:rsid w:val="00EE0C3F"/>
    <w:rsid w:val="00EE3938"/>
    <w:rsid w:val="00EE4C13"/>
    <w:rsid w:val="00EE7B1F"/>
    <w:rsid w:val="00EF556C"/>
    <w:rsid w:val="00F00004"/>
    <w:rsid w:val="00F0562E"/>
    <w:rsid w:val="00F10677"/>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169F"/>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D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28998135">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1511689">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25460434">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2905718">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47493698">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2712277">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9227819">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05199881">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65781327">
      <w:bodyDiv w:val="1"/>
      <w:marLeft w:val="0"/>
      <w:marRight w:val="0"/>
      <w:marTop w:val="0"/>
      <w:marBottom w:val="0"/>
      <w:divBdr>
        <w:top w:val="none" w:sz="0" w:space="0" w:color="auto"/>
        <w:left w:val="none" w:sz="0" w:space="0" w:color="auto"/>
        <w:bottom w:val="none" w:sz="0" w:space="0" w:color="auto"/>
        <w:right w:val="none" w:sz="0" w:space="0" w:color="auto"/>
      </w:divBdr>
    </w:div>
    <w:div w:id="1197960937">
      <w:bodyDiv w:val="1"/>
      <w:marLeft w:val="0"/>
      <w:marRight w:val="0"/>
      <w:marTop w:val="0"/>
      <w:marBottom w:val="0"/>
      <w:divBdr>
        <w:top w:val="none" w:sz="0" w:space="0" w:color="auto"/>
        <w:left w:val="none" w:sz="0" w:space="0" w:color="auto"/>
        <w:bottom w:val="none" w:sz="0" w:space="0" w:color="auto"/>
        <w:right w:val="none" w:sz="0" w:space="0" w:color="auto"/>
      </w:divBdr>
    </w:div>
    <w:div w:id="1217428676">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298797637">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5036639">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9520010">
      <w:bodyDiv w:val="1"/>
      <w:marLeft w:val="0"/>
      <w:marRight w:val="0"/>
      <w:marTop w:val="0"/>
      <w:marBottom w:val="0"/>
      <w:divBdr>
        <w:top w:val="none" w:sz="0" w:space="0" w:color="auto"/>
        <w:left w:val="none" w:sz="0" w:space="0" w:color="auto"/>
        <w:bottom w:val="none" w:sz="0" w:space="0" w:color="auto"/>
        <w:right w:val="none" w:sz="0" w:space="0" w:color="auto"/>
      </w:divBdr>
    </w:div>
    <w:div w:id="1494488563">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6621253">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26277309">
      <w:bodyDiv w:val="1"/>
      <w:marLeft w:val="0"/>
      <w:marRight w:val="0"/>
      <w:marTop w:val="0"/>
      <w:marBottom w:val="0"/>
      <w:divBdr>
        <w:top w:val="none" w:sz="0" w:space="0" w:color="auto"/>
        <w:left w:val="none" w:sz="0" w:space="0" w:color="auto"/>
        <w:bottom w:val="none" w:sz="0" w:space="0" w:color="auto"/>
        <w:right w:val="none" w:sz="0" w:space="0" w:color="auto"/>
      </w:divBdr>
    </w:div>
    <w:div w:id="1645156209">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687780734">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63724159">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96481865">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mb.edu/secc"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sbmr.or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yutflex.com"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r.utmb.edu/relations/staff_directory/"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hr.utmb.edu/relations/performance/" TargetMode="External"/><Relationship Id="rId22" Type="http://schemas.openxmlformats.org/officeDocument/2006/relationships/hyperlink" Target="https://learn.utmb.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8C1E0-4DD0-B14C-8711-A2DE15D1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Hadley, Stephen D.</cp:lastModifiedBy>
  <cp:revision>7</cp:revision>
  <cp:lastPrinted>2018-09-06T16:17:00Z</cp:lastPrinted>
  <dcterms:created xsi:type="dcterms:W3CDTF">2018-10-25T15:40:00Z</dcterms:created>
  <dcterms:modified xsi:type="dcterms:W3CDTF">2018-10-25T16:32:00Z</dcterms:modified>
</cp:coreProperties>
</file>